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F10" w:rsidRPr="00194AA6" w:rsidRDefault="00193F10" w:rsidP="00194AA6">
      <w:pPr>
        <w:jc w:val="center"/>
        <w:rPr>
          <w:sz w:val="22"/>
          <w:szCs w:val="22"/>
        </w:rPr>
      </w:pPr>
    </w:p>
    <w:p w:rsidR="00193F10" w:rsidRDefault="005D1658" w:rsidP="00194AA6">
      <w:pPr>
        <w:jc w:val="center"/>
      </w:pPr>
      <w:r>
        <w:rPr>
          <w:noProof/>
        </w:rPr>
        <w:drawing>
          <wp:inline distT="0" distB="0" distL="0" distR="0" wp14:anchorId="4690F8A9" wp14:editId="1A81357B">
            <wp:extent cx="1432560" cy="135213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53135" cy="1371556"/>
                    </a:xfrm>
                    <a:prstGeom prst="rect">
                      <a:avLst/>
                    </a:prstGeom>
                  </pic:spPr>
                </pic:pic>
              </a:graphicData>
            </a:graphic>
          </wp:inline>
        </w:drawing>
      </w:r>
    </w:p>
    <w:p w:rsidR="001771DC" w:rsidRDefault="001771DC" w:rsidP="00194AA6">
      <w:pPr>
        <w:jc w:val="center"/>
        <w:rPr>
          <w:sz w:val="22"/>
          <w:szCs w:val="22"/>
        </w:rPr>
      </w:pPr>
    </w:p>
    <w:p w:rsidR="005D1658" w:rsidRPr="00194AA6" w:rsidRDefault="005D1658" w:rsidP="00194AA6">
      <w:pPr>
        <w:jc w:val="center"/>
        <w:rPr>
          <w:sz w:val="22"/>
          <w:szCs w:val="22"/>
        </w:rPr>
      </w:pPr>
    </w:p>
    <w:p w:rsidR="00193F10" w:rsidRPr="00194AA6" w:rsidRDefault="00193F10" w:rsidP="003C5D7A">
      <w:pPr>
        <w:jc w:val="center"/>
        <w:rPr>
          <w:b/>
          <w:sz w:val="22"/>
          <w:szCs w:val="22"/>
        </w:rPr>
      </w:pPr>
      <w:r w:rsidRPr="003C5D7A">
        <w:rPr>
          <w:b/>
          <w:sz w:val="22"/>
          <w:szCs w:val="22"/>
        </w:rPr>
        <w:t>TECHNICAL E</w:t>
      </w:r>
      <w:r w:rsidRPr="00194AA6">
        <w:rPr>
          <w:b/>
          <w:sz w:val="22"/>
          <w:szCs w:val="22"/>
        </w:rPr>
        <w:t>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3C5D7A">
      <w:pPr>
        <w:spacing w:after="120"/>
        <w:jc w:val="center"/>
        <w:rPr>
          <w:bCs/>
          <w:szCs w:val="22"/>
        </w:rPr>
      </w:pPr>
      <w:r w:rsidRPr="003C5D7A">
        <w:rPr>
          <w:b/>
          <w:sz w:val="22"/>
          <w:szCs w:val="22"/>
        </w:rPr>
        <w:t>APPLICANT</w:t>
      </w:r>
    </w:p>
    <w:p w:rsidR="00194AA6" w:rsidRDefault="00EA09AE" w:rsidP="00194AA6">
      <w:pPr>
        <w:widowControl w:val="0"/>
        <w:jc w:val="center"/>
        <w:rPr>
          <w:sz w:val="22"/>
          <w:szCs w:val="22"/>
        </w:rPr>
      </w:pPr>
      <w:r w:rsidRPr="00EA09AE">
        <w:rPr>
          <w:bCs/>
          <w:sz w:val="22"/>
          <w:szCs w:val="22"/>
        </w:rPr>
        <w:t>CEMEX Construction Materials Florida, LLC</w:t>
      </w:r>
    </w:p>
    <w:p w:rsidR="00194AA6" w:rsidRPr="00A872D9" w:rsidRDefault="00A872D9" w:rsidP="00194AA6">
      <w:pPr>
        <w:widowControl w:val="0"/>
        <w:jc w:val="center"/>
        <w:rPr>
          <w:sz w:val="22"/>
          <w:szCs w:val="22"/>
          <w:highlight w:val="yellow"/>
        </w:rPr>
      </w:pPr>
      <w:r w:rsidRPr="00A872D9">
        <w:rPr>
          <w:sz w:val="22"/>
          <w:szCs w:val="22"/>
        </w:rPr>
        <w:t>16301 Ponce De Leon Boulevard</w:t>
      </w:r>
    </w:p>
    <w:p w:rsidR="00194AA6" w:rsidRPr="00746205" w:rsidRDefault="00A872D9" w:rsidP="00194AA6">
      <w:pPr>
        <w:widowControl w:val="0"/>
        <w:jc w:val="center"/>
        <w:rPr>
          <w:sz w:val="22"/>
          <w:szCs w:val="22"/>
        </w:rPr>
      </w:pPr>
      <w:bookmarkStart w:id="0" w:name="_Hlk525199725"/>
      <w:r w:rsidRPr="00A872D9">
        <w:rPr>
          <w:sz w:val="22"/>
          <w:szCs w:val="22"/>
        </w:rPr>
        <w:t>Brooksville</w:t>
      </w:r>
      <w:bookmarkEnd w:id="0"/>
      <w:r w:rsidR="00194AA6" w:rsidRPr="00A872D9">
        <w:rPr>
          <w:sz w:val="22"/>
          <w:szCs w:val="22"/>
        </w:rPr>
        <w:t xml:space="preserve">, </w:t>
      </w:r>
      <w:r w:rsidRPr="00A872D9">
        <w:rPr>
          <w:sz w:val="22"/>
          <w:szCs w:val="22"/>
        </w:rPr>
        <w:t>Florida</w:t>
      </w:r>
      <w:r w:rsidR="00194AA6" w:rsidRPr="00A872D9">
        <w:rPr>
          <w:sz w:val="22"/>
          <w:szCs w:val="22"/>
        </w:rPr>
        <w:t xml:space="preserve">, </w:t>
      </w:r>
      <w:r w:rsidRPr="00A872D9">
        <w:rPr>
          <w:sz w:val="22"/>
          <w:szCs w:val="22"/>
        </w:rPr>
        <w:t>34614</w:t>
      </w:r>
    </w:p>
    <w:p w:rsidR="00194AA6" w:rsidRDefault="00194AA6" w:rsidP="00194AA6">
      <w:pPr>
        <w:widowControl w:val="0"/>
        <w:jc w:val="center"/>
        <w:rPr>
          <w:sz w:val="22"/>
          <w:szCs w:val="22"/>
          <w:highlight w:val="yellow"/>
        </w:rPr>
      </w:pPr>
    </w:p>
    <w:p w:rsidR="00194AA6" w:rsidRPr="00746205" w:rsidRDefault="00A872D9" w:rsidP="00194AA6">
      <w:pPr>
        <w:widowControl w:val="0"/>
        <w:jc w:val="center"/>
        <w:rPr>
          <w:sz w:val="22"/>
          <w:szCs w:val="22"/>
        </w:rPr>
      </w:pPr>
      <w:r w:rsidRPr="00A872D9">
        <w:rPr>
          <w:sz w:val="22"/>
          <w:szCs w:val="22"/>
        </w:rPr>
        <w:t>Brooksville</w:t>
      </w:r>
      <w:r>
        <w:rPr>
          <w:sz w:val="22"/>
          <w:szCs w:val="22"/>
        </w:rPr>
        <w:t xml:space="preserve"> North Cement Plant</w:t>
      </w:r>
    </w:p>
    <w:p w:rsidR="00194AA6" w:rsidRDefault="00194AA6" w:rsidP="00194AA6">
      <w:pPr>
        <w:widowControl w:val="0"/>
        <w:jc w:val="center"/>
        <w:rPr>
          <w:sz w:val="22"/>
          <w:szCs w:val="22"/>
        </w:rPr>
      </w:pPr>
      <w:r w:rsidRPr="00746205">
        <w:rPr>
          <w:sz w:val="22"/>
          <w:szCs w:val="22"/>
        </w:rPr>
        <w:t xml:space="preserve">Facility ID No. </w:t>
      </w:r>
      <w:r w:rsidR="00A872D9">
        <w:rPr>
          <w:sz w:val="22"/>
          <w:szCs w:val="22"/>
        </w:rPr>
        <w:t>0530010</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3C5D7A">
      <w:pPr>
        <w:spacing w:after="120"/>
        <w:jc w:val="center"/>
        <w:rPr>
          <w:bCs/>
        </w:rPr>
      </w:pPr>
      <w:r w:rsidRPr="003C5D7A">
        <w:rPr>
          <w:b/>
          <w:sz w:val="22"/>
          <w:szCs w:val="22"/>
        </w:rPr>
        <w:t>PROJECT</w:t>
      </w:r>
    </w:p>
    <w:p w:rsidR="00193F10" w:rsidRDefault="00193F10" w:rsidP="003C5D7A">
      <w:pPr>
        <w:jc w:val="center"/>
        <w:rPr>
          <w:sz w:val="22"/>
        </w:rPr>
      </w:pPr>
      <w:r>
        <w:rPr>
          <w:sz w:val="22"/>
        </w:rPr>
        <w:t>P</w:t>
      </w:r>
      <w:r w:rsidR="00194AA6">
        <w:rPr>
          <w:sz w:val="22"/>
        </w:rPr>
        <w:t>roject</w:t>
      </w:r>
      <w:r>
        <w:rPr>
          <w:sz w:val="22"/>
        </w:rPr>
        <w:t xml:space="preserve"> No. </w:t>
      </w:r>
      <w:r w:rsidR="00A872D9">
        <w:rPr>
          <w:sz w:val="22"/>
        </w:rPr>
        <w:t>0530010-048-AC</w:t>
      </w:r>
      <w:r w:rsidR="00DA6B16">
        <w:rPr>
          <w:sz w:val="22"/>
        </w:rPr>
        <w:t xml:space="preserve"> (PSD-FL-233A)</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Pr="001D487F" w:rsidRDefault="00DF5520" w:rsidP="00194AA6">
      <w:pPr>
        <w:jc w:val="center"/>
        <w:rPr>
          <w:sz w:val="22"/>
        </w:rPr>
      </w:pPr>
      <w:r>
        <w:rPr>
          <w:sz w:val="22"/>
          <w:szCs w:val="22"/>
        </w:rPr>
        <w:t>Removal of SO</w:t>
      </w:r>
      <w:r w:rsidRPr="00537765">
        <w:rPr>
          <w:sz w:val="22"/>
          <w:szCs w:val="22"/>
          <w:vertAlign w:val="subscript"/>
        </w:rPr>
        <w:t>2</w:t>
      </w:r>
      <w:r>
        <w:rPr>
          <w:sz w:val="22"/>
          <w:szCs w:val="22"/>
        </w:rPr>
        <w:t xml:space="preserve"> CEMS and Kiln Feed Limits</w:t>
      </w:r>
    </w:p>
    <w:p w:rsidR="00193F10" w:rsidRDefault="00193F10" w:rsidP="00194AA6">
      <w:pPr>
        <w:jc w:val="center"/>
        <w:rPr>
          <w:sz w:val="22"/>
        </w:rPr>
      </w:pPr>
    </w:p>
    <w:p w:rsidR="00193F10" w:rsidRDefault="00193F10" w:rsidP="00194AA6">
      <w:pPr>
        <w:jc w:val="center"/>
        <w:rPr>
          <w:sz w:val="22"/>
        </w:rPr>
      </w:pPr>
    </w:p>
    <w:p w:rsidR="00193F10" w:rsidRDefault="00193F10" w:rsidP="003C5D7A">
      <w:pPr>
        <w:spacing w:after="120"/>
        <w:jc w:val="center"/>
        <w:rPr>
          <w:bCs/>
        </w:rPr>
      </w:pPr>
      <w:r w:rsidRPr="003C5D7A">
        <w:rPr>
          <w:b/>
          <w:sz w:val="22"/>
          <w:szCs w:val="22"/>
        </w:rPr>
        <w:t>COUNTY</w:t>
      </w:r>
    </w:p>
    <w:p w:rsidR="00193F10" w:rsidRPr="001D487F" w:rsidRDefault="00A07DB0" w:rsidP="00194AA6">
      <w:pPr>
        <w:jc w:val="center"/>
        <w:rPr>
          <w:sz w:val="22"/>
        </w:rPr>
      </w:pPr>
      <w:r>
        <w:rPr>
          <w:sz w:val="22"/>
        </w:rPr>
        <w:t>Hernando</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Pr="003C5D7A" w:rsidRDefault="00193F10" w:rsidP="003C5D7A">
      <w:pPr>
        <w:spacing w:after="120"/>
        <w:jc w:val="center"/>
        <w:rPr>
          <w:b/>
          <w:sz w:val="22"/>
          <w:szCs w:val="22"/>
        </w:rPr>
      </w:pPr>
      <w:r w:rsidRPr="003C5D7A">
        <w:rPr>
          <w:b/>
          <w:sz w:val="22"/>
          <w:szCs w:val="22"/>
        </w:rPr>
        <w:t>PERMITTING</w:t>
      </w:r>
      <w:r w:rsidR="001D487F" w:rsidRPr="003C5D7A">
        <w:rPr>
          <w:b/>
          <w:sz w:val="22"/>
          <w:szCs w:val="22"/>
        </w:rPr>
        <w:t xml:space="preserve"> </w:t>
      </w:r>
      <w:r w:rsidRPr="003C5D7A">
        <w:rPr>
          <w:b/>
          <w:sz w:val="22"/>
          <w:szCs w:val="22"/>
        </w:rP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850561"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w:t>
      </w:r>
      <w:r w:rsidR="00FF52D5">
        <w:rPr>
          <w:sz w:val="22"/>
          <w:szCs w:val="22"/>
        </w:rPr>
        <w:t xml:space="preserve"> S</w:t>
      </w:r>
      <w:r>
        <w:rPr>
          <w:sz w:val="22"/>
          <w:szCs w:val="22"/>
        </w:rPr>
        <w:t>tone Road, MS#5505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proofErr w:type="gramStart"/>
        <w:r>
          <w:rPr>
            <w:sz w:val="22"/>
            <w:szCs w:val="22"/>
          </w:rPr>
          <w:t xml:space="preserve">Florida  </w:t>
        </w:r>
        <w:smartTag w:uri="urn:schemas-microsoft-com:office:smarttags" w:element="PostalCode">
          <w:r>
            <w:rPr>
              <w:sz w:val="22"/>
              <w:szCs w:val="22"/>
            </w:rPr>
            <w:t>32399</w:t>
          </w:r>
          <w:proofErr w:type="gramEnd"/>
          <w:r>
            <w:rPr>
              <w:sz w:val="22"/>
              <w:szCs w:val="22"/>
            </w:rPr>
            <w:t>-2400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B23367" w:rsidP="00194AA6">
      <w:pPr>
        <w:jc w:val="center"/>
        <w:rPr>
          <w:sz w:val="22"/>
        </w:rPr>
      </w:pPr>
      <w:r>
        <w:rPr>
          <w:sz w:val="22"/>
        </w:rPr>
        <w:t>September 28, 2018</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Pr="00B23367" w:rsidRDefault="00193F10" w:rsidP="00B23367">
      <w:pPr>
        <w:pStyle w:val="ListParagraph"/>
        <w:numPr>
          <w:ilvl w:val="0"/>
          <w:numId w:val="6"/>
        </w:numPr>
        <w:spacing w:after="120"/>
        <w:ind w:left="720" w:hanging="720"/>
        <w:contextualSpacing w:val="0"/>
        <w:rPr>
          <w:b/>
          <w:caps/>
          <w:sz w:val="22"/>
          <w:szCs w:val="22"/>
        </w:rPr>
      </w:pPr>
      <w:r w:rsidRPr="00B23367">
        <w:rPr>
          <w:b/>
          <w:caps/>
          <w:sz w:val="22"/>
          <w:szCs w:val="22"/>
        </w:rPr>
        <w:lastRenderedPageBreak/>
        <w:t>General Project INFORMATION</w:t>
      </w:r>
    </w:p>
    <w:p w:rsidR="00EE6112" w:rsidRPr="00B23367" w:rsidRDefault="00EE6112" w:rsidP="00B23367">
      <w:pPr>
        <w:pStyle w:val="ListParagraph"/>
        <w:numPr>
          <w:ilvl w:val="1"/>
          <w:numId w:val="6"/>
        </w:numPr>
        <w:spacing w:after="120"/>
        <w:ind w:left="720" w:hanging="720"/>
        <w:contextualSpacing w:val="0"/>
        <w:rPr>
          <w:b/>
          <w:caps/>
          <w:sz w:val="22"/>
          <w:szCs w:val="22"/>
        </w:rPr>
      </w:pPr>
      <w:r w:rsidRPr="00B23367">
        <w:rPr>
          <w:b/>
          <w:bCs/>
          <w:sz w:val="22"/>
          <w:szCs w:val="22"/>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B23367" w:rsidRDefault="00D262B1" w:rsidP="00B23367">
      <w:pPr>
        <w:pStyle w:val="ListParagraph"/>
        <w:numPr>
          <w:ilvl w:val="1"/>
          <w:numId w:val="6"/>
        </w:numPr>
        <w:spacing w:after="120"/>
        <w:ind w:left="720" w:hanging="720"/>
        <w:contextualSpacing w:val="0"/>
        <w:rPr>
          <w:b/>
          <w:bCs/>
          <w:sz w:val="22"/>
          <w:szCs w:val="22"/>
        </w:rPr>
      </w:pPr>
      <w:r w:rsidRPr="00B23367">
        <w:rPr>
          <w:b/>
          <w:bCs/>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B23367" w:rsidRDefault="00193F10" w:rsidP="00B23367">
      <w:pPr>
        <w:pStyle w:val="ListParagraph"/>
        <w:numPr>
          <w:ilvl w:val="1"/>
          <w:numId w:val="6"/>
        </w:numPr>
        <w:spacing w:after="120"/>
        <w:ind w:left="720" w:hanging="720"/>
        <w:contextualSpacing w:val="0"/>
        <w:rPr>
          <w:b/>
          <w:bCs/>
          <w:sz w:val="22"/>
          <w:szCs w:val="22"/>
        </w:rPr>
      </w:pPr>
      <w:r w:rsidRPr="00B23367">
        <w:rPr>
          <w:b/>
          <w:bCs/>
          <w:sz w:val="22"/>
          <w:szCs w:val="22"/>
        </w:rPr>
        <w:t>Facility Description and Location</w:t>
      </w:r>
    </w:p>
    <w:p w:rsidR="00193F10" w:rsidRDefault="00A07DB0" w:rsidP="004D1D9F">
      <w:pPr>
        <w:pStyle w:val="BodyText3"/>
        <w:numPr>
          <w:ilvl w:val="12"/>
          <w:numId w:val="0"/>
        </w:numPr>
        <w:spacing w:before="0"/>
      </w:pPr>
      <w:r>
        <w:t>Brooksville North Cement Plant</w:t>
      </w:r>
      <w:r w:rsidR="004D1D9F" w:rsidRPr="004D1D9F">
        <w:t xml:space="preserve"> </w:t>
      </w:r>
      <w:r>
        <w:t>is</w:t>
      </w:r>
      <w:r w:rsidR="00302267">
        <w:t xml:space="preserve"> </w:t>
      </w:r>
      <w:r w:rsidR="00302267" w:rsidRPr="006C3F0E">
        <w:t>a</w:t>
      </w:r>
      <w:r w:rsidRPr="006C3F0E">
        <w:t>n</w:t>
      </w:r>
      <w:r w:rsidR="00302267" w:rsidRPr="006C3F0E">
        <w:t xml:space="preserve"> </w:t>
      </w:r>
      <w:r w:rsidR="004D1D9F" w:rsidRPr="006C3F0E">
        <w:t>existing</w:t>
      </w:r>
      <w:r w:rsidR="001D1649" w:rsidRPr="006C3F0E">
        <w:t xml:space="preserve"> </w:t>
      </w:r>
      <w:r w:rsidRPr="006C3F0E">
        <w:rPr>
          <w:szCs w:val="22"/>
        </w:rPr>
        <w:t>Portland cement plant categorized under Standard Industrial Classification No. 3241</w:t>
      </w:r>
      <w:r w:rsidR="001D1649" w:rsidRPr="006C3F0E">
        <w:rPr>
          <w:bCs/>
        </w:rPr>
        <w:t xml:space="preserve">. </w:t>
      </w:r>
      <w:r w:rsidR="001C4E37" w:rsidRPr="006C3F0E">
        <w:t xml:space="preserve"> </w:t>
      </w:r>
      <w:r w:rsidR="00302267" w:rsidRPr="006C3F0E">
        <w:t>T</w:t>
      </w:r>
      <w:r w:rsidRPr="006C3F0E">
        <w:rPr>
          <w:szCs w:val="22"/>
        </w:rPr>
        <w:t xml:space="preserve">he </w:t>
      </w:r>
      <w:r w:rsidR="00302267" w:rsidRPr="006C3F0E">
        <w:rPr>
          <w:szCs w:val="22"/>
        </w:rPr>
        <w:t xml:space="preserve">existing Plant Name </w:t>
      </w:r>
      <w:r w:rsidR="00B23367" w:rsidRPr="006C3F0E">
        <w:rPr>
          <w:szCs w:val="22"/>
        </w:rPr>
        <w:t>is in</w:t>
      </w:r>
      <w:r w:rsidR="00302267" w:rsidRPr="006C3F0E">
        <w:rPr>
          <w:szCs w:val="22"/>
        </w:rPr>
        <w:t xml:space="preserve"> </w:t>
      </w:r>
      <w:r w:rsidRPr="006C3F0E">
        <w:rPr>
          <w:szCs w:val="22"/>
        </w:rPr>
        <w:t>Hernando County</w:t>
      </w:r>
      <w:r w:rsidR="00C001DA">
        <w:rPr>
          <w:szCs w:val="22"/>
        </w:rPr>
        <w:t xml:space="preserve"> (</w:t>
      </w:r>
      <w:r w:rsidR="00C001DA" w:rsidRPr="00C001DA">
        <w:rPr>
          <w:szCs w:val="22"/>
        </w:rPr>
        <w:fldChar w:fldCharType="begin"/>
      </w:r>
      <w:r w:rsidR="00C001DA" w:rsidRPr="00C001DA">
        <w:rPr>
          <w:szCs w:val="22"/>
        </w:rPr>
        <w:instrText xml:space="preserve"> REF _Ref525211694 \h  \* MERGEFORMAT </w:instrText>
      </w:r>
      <w:r w:rsidR="00C001DA" w:rsidRPr="00C001DA">
        <w:rPr>
          <w:szCs w:val="22"/>
        </w:rPr>
      </w:r>
      <w:r w:rsidR="00C001DA" w:rsidRPr="00C001DA">
        <w:rPr>
          <w:szCs w:val="22"/>
        </w:rPr>
        <w:fldChar w:fldCharType="separate"/>
      </w:r>
      <w:r w:rsidR="00C001DA" w:rsidRPr="00C001DA">
        <w:rPr>
          <w:b/>
          <w:szCs w:val="22"/>
        </w:rPr>
        <w:t xml:space="preserve">Figure </w:t>
      </w:r>
      <w:r w:rsidR="00C001DA" w:rsidRPr="00C001DA">
        <w:rPr>
          <w:b/>
          <w:noProof/>
          <w:szCs w:val="22"/>
        </w:rPr>
        <w:t>1</w:t>
      </w:r>
      <w:r w:rsidR="00C001DA" w:rsidRPr="00C001DA">
        <w:rPr>
          <w:szCs w:val="22"/>
        </w:rPr>
        <w:fldChar w:fldCharType="end"/>
      </w:r>
      <w:r w:rsidR="00C001DA">
        <w:rPr>
          <w:szCs w:val="22"/>
        </w:rPr>
        <w:t>)</w:t>
      </w:r>
      <w:r w:rsidRPr="006C3F0E">
        <w:rPr>
          <w:szCs w:val="22"/>
        </w:rPr>
        <w:t xml:space="preserve"> at 16301 Ponce De Leon Boulevard in Brooksville, Florida</w:t>
      </w:r>
      <w:r w:rsidR="00C001DA">
        <w:rPr>
          <w:szCs w:val="22"/>
        </w:rPr>
        <w:t xml:space="preserve"> (</w:t>
      </w:r>
      <w:r w:rsidR="00C001DA" w:rsidRPr="00C001DA">
        <w:rPr>
          <w:szCs w:val="22"/>
        </w:rPr>
        <w:fldChar w:fldCharType="begin"/>
      </w:r>
      <w:r w:rsidR="00C001DA" w:rsidRPr="00C001DA">
        <w:rPr>
          <w:szCs w:val="22"/>
        </w:rPr>
        <w:instrText xml:space="preserve"> REF _Ref525211729 \h  \* MERGEFORMAT </w:instrText>
      </w:r>
      <w:r w:rsidR="00C001DA" w:rsidRPr="00C001DA">
        <w:rPr>
          <w:szCs w:val="22"/>
        </w:rPr>
      </w:r>
      <w:r w:rsidR="00C001DA" w:rsidRPr="00C001DA">
        <w:rPr>
          <w:szCs w:val="22"/>
        </w:rPr>
        <w:fldChar w:fldCharType="separate"/>
      </w:r>
      <w:r w:rsidR="00C001DA" w:rsidRPr="00C001DA">
        <w:rPr>
          <w:b/>
          <w:szCs w:val="22"/>
        </w:rPr>
        <w:t xml:space="preserve">Figure </w:t>
      </w:r>
      <w:r w:rsidR="00C001DA" w:rsidRPr="00C001DA">
        <w:rPr>
          <w:b/>
          <w:noProof/>
          <w:szCs w:val="22"/>
        </w:rPr>
        <w:t>2</w:t>
      </w:r>
      <w:r w:rsidR="00C001DA" w:rsidRPr="00C001DA">
        <w:rPr>
          <w:szCs w:val="22"/>
        </w:rPr>
        <w:fldChar w:fldCharType="end"/>
      </w:r>
      <w:r w:rsidR="00C001DA">
        <w:rPr>
          <w:szCs w:val="22"/>
        </w:rPr>
        <w:t>)</w:t>
      </w:r>
      <w:r w:rsidR="00F71458" w:rsidRPr="006C3F0E">
        <w:t xml:space="preserve">.  </w:t>
      </w:r>
      <w:r w:rsidR="00193F10" w:rsidRPr="006C3F0E">
        <w:t xml:space="preserve">The UTM coordinates </w:t>
      </w:r>
      <w:r w:rsidR="001D487F" w:rsidRPr="006C3F0E">
        <w:t>of the existing/new</w:t>
      </w:r>
      <w:r w:rsidR="001D487F">
        <w:t xml:space="preserve"> facility </w:t>
      </w:r>
      <w:r w:rsidR="00193F10">
        <w:t xml:space="preserve">are </w:t>
      </w:r>
      <w:r w:rsidR="006C3F0E" w:rsidRPr="000472DA">
        <w:rPr>
          <w:szCs w:val="22"/>
        </w:rPr>
        <w:t xml:space="preserve">Zone </w:t>
      </w:r>
      <w:r w:rsidR="006C3F0E">
        <w:rPr>
          <w:szCs w:val="22"/>
        </w:rPr>
        <w:t>17</w:t>
      </w:r>
      <w:r w:rsidR="006C3F0E" w:rsidRPr="000472DA">
        <w:rPr>
          <w:szCs w:val="22"/>
        </w:rPr>
        <w:t xml:space="preserve">, </w:t>
      </w:r>
      <w:r w:rsidR="006C3F0E">
        <w:rPr>
          <w:szCs w:val="22"/>
        </w:rPr>
        <w:t>356.1</w:t>
      </w:r>
      <w:r w:rsidR="006C3F0E" w:rsidRPr="000472DA">
        <w:rPr>
          <w:szCs w:val="22"/>
        </w:rPr>
        <w:t xml:space="preserve"> </w:t>
      </w:r>
      <w:r w:rsidR="006C3F0E">
        <w:rPr>
          <w:szCs w:val="22"/>
        </w:rPr>
        <w:t>kilometers (</w:t>
      </w:r>
      <w:r w:rsidR="006C3F0E" w:rsidRPr="000472DA">
        <w:rPr>
          <w:szCs w:val="22"/>
        </w:rPr>
        <w:t>km</w:t>
      </w:r>
      <w:r w:rsidR="006C3F0E">
        <w:rPr>
          <w:szCs w:val="22"/>
        </w:rPr>
        <w:t>)</w:t>
      </w:r>
      <w:r w:rsidR="006C3F0E" w:rsidRPr="000472DA">
        <w:rPr>
          <w:szCs w:val="22"/>
        </w:rPr>
        <w:t xml:space="preserve"> East and </w:t>
      </w:r>
      <w:r w:rsidR="006C3F0E">
        <w:rPr>
          <w:szCs w:val="22"/>
        </w:rPr>
        <w:t>3169.3</w:t>
      </w:r>
      <w:r w:rsidR="006C3F0E" w:rsidRPr="000472DA">
        <w:rPr>
          <w:szCs w:val="22"/>
        </w:rPr>
        <w:t xml:space="preserve"> km North</w:t>
      </w:r>
      <w:r w:rsidR="00193F10">
        <w:t>.  This site is in an area that is in attainment (or designated as unclassifiable) for all air</w:t>
      </w:r>
      <w:r w:rsidR="001D487F">
        <w:t xml:space="preserve"> pollutants subject to </w:t>
      </w:r>
      <w:r w:rsidR="00193F10">
        <w:t>Ambient Air Quality Standard</w:t>
      </w:r>
      <w:r w:rsidR="001D487F">
        <w:t>s</w:t>
      </w:r>
      <w:r w:rsidR="00F71458">
        <w:t xml:space="preserve"> (</w:t>
      </w:r>
      <w:r w:rsidR="00193F10">
        <w:t>AAQS).</w:t>
      </w:r>
      <w:r w:rsidR="00C001DA">
        <w:t xml:space="preserve">  </w:t>
      </w:r>
      <w:r w:rsidR="00C001DA" w:rsidRPr="00A72425">
        <w:fldChar w:fldCharType="begin"/>
      </w:r>
      <w:r w:rsidR="00C001DA" w:rsidRPr="00A72425">
        <w:instrText xml:space="preserve"> REF _Ref525211761 \h </w:instrText>
      </w:r>
      <w:r w:rsidR="00A72425" w:rsidRPr="00A72425">
        <w:instrText xml:space="preserve"> \* MERGEFORMAT </w:instrText>
      </w:r>
      <w:r w:rsidR="00C001DA" w:rsidRPr="00A72425">
        <w:fldChar w:fldCharType="separate"/>
      </w:r>
      <w:r w:rsidR="00C001DA" w:rsidRPr="00A72425">
        <w:rPr>
          <w:b/>
          <w:szCs w:val="22"/>
        </w:rPr>
        <w:t xml:space="preserve">Figure </w:t>
      </w:r>
      <w:r w:rsidR="00C001DA" w:rsidRPr="00A72425">
        <w:rPr>
          <w:b/>
          <w:noProof/>
          <w:szCs w:val="22"/>
        </w:rPr>
        <w:t>3</w:t>
      </w:r>
      <w:r w:rsidR="00C001DA" w:rsidRPr="00A72425">
        <w:fldChar w:fldCharType="end"/>
      </w:r>
      <w:r w:rsidR="00C001DA" w:rsidRPr="00A72425">
        <w:t xml:space="preserve"> </w:t>
      </w:r>
      <w:r w:rsidR="00C001DA">
        <w:t>is a satellite view of the facility.</w:t>
      </w:r>
    </w:p>
    <w:p w:rsidR="0036456B" w:rsidRDefault="0036456B" w:rsidP="006A5674">
      <w:pPr>
        <w:pStyle w:val="BodyText3"/>
        <w:numPr>
          <w:ilvl w:val="12"/>
          <w:numId w:val="0"/>
        </w:numPr>
        <w:spacing w:before="0" w:after="60"/>
      </w:pPr>
      <w:r>
        <w:rPr>
          <w:noProof/>
        </w:rPr>
        <mc:AlternateContent>
          <mc:Choice Requires="wps">
            <w:drawing>
              <wp:anchor distT="0" distB="0" distL="114300" distR="114300" simplePos="0" relativeHeight="251660288" behindDoc="0" locked="0" layoutInCell="1" allowOverlap="1">
                <wp:simplePos x="0" y="0"/>
                <wp:positionH relativeFrom="column">
                  <wp:posOffset>769925</wp:posOffset>
                </wp:positionH>
                <wp:positionV relativeFrom="paragraph">
                  <wp:posOffset>1180769</wp:posOffset>
                </wp:positionV>
                <wp:extent cx="1038758" cy="428777"/>
                <wp:effectExtent l="0" t="38100" r="47625" b="28575"/>
                <wp:wrapNone/>
                <wp:docPr id="5" name="Straight Arrow Connector 5"/>
                <wp:cNvGraphicFramePr/>
                <a:graphic xmlns:a="http://schemas.openxmlformats.org/drawingml/2006/main">
                  <a:graphicData uri="http://schemas.microsoft.com/office/word/2010/wordprocessingShape">
                    <wps:wsp>
                      <wps:cNvCnPr/>
                      <wps:spPr>
                        <a:xfrm flipV="1">
                          <a:off x="0" y="0"/>
                          <a:ext cx="1038758" cy="42877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FBBBD6C" id="_x0000_t32" coordsize="21600,21600" o:spt="32" o:oned="t" path="m,l21600,21600e" filled="f">
                <v:path arrowok="t" fillok="f" o:connecttype="none"/>
                <o:lock v:ext="edit" shapetype="t"/>
              </v:shapetype>
              <v:shape id="Straight Arrow Connector 5" o:spid="_x0000_s1026" type="#_x0000_t32" style="position:absolute;margin-left:60.6pt;margin-top:92.95pt;width:81.8pt;height:33.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" strokecolor="black [3213]">
                <v:stroke endarrow="block"/>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1611630</wp:posOffset>
                </wp:positionV>
                <wp:extent cx="1333500" cy="304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1333500" cy="304800"/>
                        </a:xfrm>
                        <a:prstGeom prst="rect">
                          <a:avLst/>
                        </a:prstGeom>
                        <a:solidFill>
                          <a:schemeClr val="lt1"/>
                        </a:solidFill>
                        <a:ln w="6350">
                          <a:solidFill>
                            <a:prstClr val="black"/>
                          </a:solidFill>
                        </a:ln>
                      </wps:spPr>
                      <wps:txbx>
                        <w:txbxContent>
                          <w:p w:rsidR="0036456B" w:rsidRPr="0036456B" w:rsidRDefault="0036456B">
                            <w:pPr>
                              <w:rPr>
                                <w:b/>
                              </w:rPr>
                            </w:pPr>
                            <w:r w:rsidRPr="0036456B">
                              <w:rPr>
                                <w:b/>
                              </w:rPr>
                              <w:t>Hernando County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1.25pt;margin-top:126.9pt;width:10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" fillcolor="white [3201]" strokeweight=".5pt">
                <v:textbox>
                  <w:txbxContent>
                    <w:p w:rsidR="0036456B" w:rsidRPr="0036456B" w:rsidRDefault="0036456B">
                      <w:pPr>
                        <w:rPr>
                          <w:b/>
                        </w:rPr>
                      </w:pPr>
                      <w:r w:rsidRPr="0036456B">
                        <w:rPr>
                          <w:b/>
                        </w:rPr>
                        <w:t>Hernando County</w:t>
                      </w:r>
                    </w:p>
                  </w:txbxContent>
                </v:textbox>
              </v:shape>
            </w:pict>
          </mc:Fallback>
        </mc:AlternateContent>
      </w:r>
      <w:r>
        <w:rPr>
          <w:noProof/>
        </w:rPr>
        <w:drawing>
          <wp:inline distT="0" distB="0" distL="0" distR="0" wp14:anchorId="2828FC92" wp14:editId="35047BB1">
            <wp:extent cx="2914015" cy="2941562"/>
            <wp:effectExtent l="19050" t="19050" r="19685"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0178" cy="2947784"/>
                    </a:xfrm>
                    <a:prstGeom prst="rect">
                      <a:avLst/>
                    </a:prstGeom>
                    <a:ln w="19050">
                      <a:solidFill>
                        <a:schemeClr val="tx1"/>
                      </a:solidFill>
                    </a:ln>
                  </pic:spPr>
                </pic:pic>
              </a:graphicData>
            </a:graphic>
          </wp:inline>
        </w:drawing>
      </w:r>
      <w:r>
        <w:tab/>
      </w:r>
      <w:r w:rsidR="006A5674">
        <w:rPr>
          <w:noProof/>
        </w:rPr>
        <w:drawing>
          <wp:inline distT="0" distB="0" distL="0" distR="0" wp14:anchorId="3E53E2D7" wp14:editId="73420016">
            <wp:extent cx="3320415" cy="2932275"/>
            <wp:effectExtent l="19050" t="19050" r="13335" b="209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31557" cy="2942115"/>
                    </a:xfrm>
                    <a:prstGeom prst="rect">
                      <a:avLst/>
                    </a:prstGeom>
                    <a:ln w="19050">
                      <a:solidFill>
                        <a:schemeClr val="tx1"/>
                      </a:solidFill>
                    </a:ln>
                  </pic:spPr>
                </pic:pic>
              </a:graphicData>
            </a:graphic>
          </wp:inline>
        </w:drawing>
      </w:r>
    </w:p>
    <w:p w:rsidR="006A5674" w:rsidRPr="00C001DA" w:rsidRDefault="006A5674" w:rsidP="00B23367">
      <w:pPr>
        <w:pStyle w:val="Caption"/>
        <w:tabs>
          <w:tab w:val="left" w:pos="6390"/>
        </w:tabs>
        <w:spacing w:before="60" w:after="120"/>
        <w:ind w:left="540"/>
        <w:rPr>
          <w:b/>
          <w:i w:val="0"/>
          <w:color w:val="auto"/>
          <w:sz w:val="22"/>
          <w:szCs w:val="22"/>
        </w:rPr>
      </w:pPr>
      <w:bookmarkStart w:id="1" w:name="_Ref525211694"/>
      <w:r w:rsidRPr="00C001DA">
        <w:rPr>
          <w:b/>
          <w:i w:val="0"/>
          <w:color w:val="auto"/>
          <w:sz w:val="22"/>
          <w:szCs w:val="22"/>
        </w:rPr>
        <w:t xml:space="preserve">Figure </w:t>
      </w:r>
      <w:r w:rsidRPr="00C001DA">
        <w:rPr>
          <w:b/>
          <w:i w:val="0"/>
          <w:color w:val="auto"/>
          <w:sz w:val="22"/>
          <w:szCs w:val="22"/>
        </w:rPr>
        <w:fldChar w:fldCharType="begin"/>
      </w:r>
      <w:r w:rsidRPr="00C001DA">
        <w:rPr>
          <w:b/>
          <w:i w:val="0"/>
          <w:color w:val="auto"/>
          <w:sz w:val="22"/>
          <w:szCs w:val="22"/>
        </w:rPr>
        <w:instrText xml:space="preserve"> SEQ Figure \* ARABIC </w:instrText>
      </w:r>
      <w:r w:rsidRPr="00C001DA">
        <w:rPr>
          <w:b/>
          <w:i w:val="0"/>
          <w:color w:val="auto"/>
          <w:sz w:val="22"/>
          <w:szCs w:val="22"/>
        </w:rPr>
        <w:fldChar w:fldCharType="separate"/>
      </w:r>
      <w:r w:rsidR="007502FD">
        <w:rPr>
          <w:b/>
          <w:i w:val="0"/>
          <w:noProof/>
          <w:color w:val="auto"/>
          <w:sz w:val="22"/>
          <w:szCs w:val="22"/>
        </w:rPr>
        <w:t>1</w:t>
      </w:r>
      <w:r w:rsidRPr="00C001DA">
        <w:rPr>
          <w:b/>
          <w:i w:val="0"/>
          <w:color w:val="auto"/>
          <w:sz w:val="22"/>
          <w:szCs w:val="22"/>
        </w:rPr>
        <w:fldChar w:fldCharType="end"/>
      </w:r>
      <w:bookmarkEnd w:id="1"/>
      <w:r w:rsidRPr="00C001DA">
        <w:rPr>
          <w:b/>
          <w:i w:val="0"/>
          <w:color w:val="auto"/>
          <w:sz w:val="22"/>
          <w:szCs w:val="22"/>
        </w:rPr>
        <w:t>.  Hernando County, Florida</w:t>
      </w:r>
      <w:r w:rsidR="00B23367">
        <w:rPr>
          <w:b/>
          <w:i w:val="0"/>
          <w:color w:val="auto"/>
          <w:sz w:val="22"/>
          <w:szCs w:val="22"/>
        </w:rPr>
        <w:t>.</w:t>
      </w:r>
      <w:r w:rsidRPr="00C001DA">
        <w:rPr>
          <w:b/>
          <w:i w:val="0"/>
          <w:color w:val="auto"/>
          <w:sz w:val="22"/>
          <w:szCs w:val="22"/>
        </w:rPr>
        <w:tab/>
      </w:r>
      <w:bookmarkStart w:id="2" w:name="_Ref525211729"/>
      <w:r w:rsidRPr="00C001DA">
        <w:rPr>
          <w:b/>
          <w:i w:val="0"/>
          <w:color w:val="auto"/>
          <w:sz w:val="22"/>
          <w:szCs w:val="22"/>
        </w:rPr>
        <w:t xml:space="preserve">Figure </w:t>
      </w:r>
      <w:r w:rsidRPr="00C001DA">
        <w:rPr>
          <w:b/>
          <w:i w:val="0"/>
          <w:color w:val="auto"/>
          <w:sz w:val="22"/>
          <w:szCs w:val="22"/>
        </w:rPr>
        <w:fldChar w:fldCharType="begin"/>
      </w:r>
      <w:r w:rsidRPr="00C001DA">
        <w:rPr>
          <w:b/>
          <w:i w:val="0"/>
          <w:color w:val="auto"/>
          <w:sz w:val="22"/>
          <w:szCs w:val="22"/>
        </w:rPr>
        <w:instrText xml:space="preserve"> SEQ Figure \* ARABIC </w:instrText>
      </w:r>
      <w:r w:rsidRPr="00C001DA">
        <w:rPr>
          <w:b/>
          <w:i w:val="0"/>
          <w:color w:val="auto"/>
          <w:sz w:val="22"/>
          <w:szCs w:val="22"/>
        </w:rPr>
        <w:fldChar w:fldCharType="separate"/>
      </w:r>
      <w:r w:rsidR="007502FD">
        <w:rPr>
          <w:b/>
          <w:i w:val="0"/>
          <w:noProof/>
          <w:color w:val="auto"/>
          <w:sz w:val="22"/>
          <w:szCs w:val="22"/>
        </w:rPr>
        <w:t>2</w:t>
      </w:r>
      <w:r w:rsidRPr="00C001DA">
        <w:rPr>
          <w:b/>
          <w:i w:val="0"/>
          <w:color w:val="auto"/>
          <w:sz w:val="22"/>
          <w:szCs w:val="22"/>
        </w:rPr>
        <w:fldChar w:fldCharType="end"/>
      </w:r>
      <w:bookmarkEnd w:id="2"/>
      <w:r w:rsidRPr="00C001DA">
        <w:rPr>
          <w:b/>
          <w:i w:val="0"/>
          <w:color w:val="auto"/>
          <w:sz w:val="22"/>
          <w:szCs w:val="22"/>
        </w:rPr>
        <w:t>.  Facility Location</w:t>
      </w:r>
      <w:r w:rsidR="00B23367">
        <w:rPr>
          <w:b/>
          <w:i w:val="0"/>
          <w:color w:val="auto"/>
          <w:sz w:val="22"/>
          <w:szCs w:val="22"/>
        </w:rPr>
        <w:t>.</w:t>
      </w:r>
    </w:p>
    <w:p w:rsidR="00311DFF" w:rsidRDefault="00311DFF" w:rsidP="00C3073C">
      <w:pPr>
        <w:pStyle w:val="Heading9"/>
        <w:keepNext w:val="0"/>
        <w:widowControl w:val="0"/>
        <w:spacing w:after="60"/>
        <w:ind w:left="0"/>
        <w:rPr>
          <w:b/>
          <w:bCs/>
          <w:szCs w:val="22"/>
          <w:u w:val="none"/>
        </w:rPr>
      </w:pPr>
      <w:r w:rsidRPr="00311DFF">
        <w:rPr>
          <w:noProof/>
          <w:u w:val="none"/>
        </w:rPr>
        <w:lastRenderedPageBreak/>
        <w:drawing>
          <wp:inline distT="0" distB="0" distL="0" distR="0" wp14:anchorId="06495ADF" wp14:editId="1D1BE76E">
            <wp:extent cx="6400800" cy="3679825"/>
            <wp:effectExtent l="19050" t="19050" r="1905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0800" cy="3679825"/>
                    </a:xfrm>
                    <a:prstGeom prst="rect">
                      <a:avLst/>
                    </a:prstGeom>
                    <a:ln w="19050">
                      <a:solidFill>
                        <a:schemeClr val="tx1"/>
                      </a:solidFill>
                    </a:ln>
                  </pic:spPr>
                </pic:pic>
              </a:graphicData>
            </a:graphic>
          </wp:inline>
        </w:drawing>
      </w:r>
    </w:p>
    <w:p w:rsidR="00C3073C" w:rsidRPr="00C001DA" w:rsidRDefault="00C3073C" w:rsidP="00B23367">
      <w:pPr>
        <w:pStyle w:val="Caption"/>
        <w:jc w:val="center"/>
        <w:rPr>
          <w:b/>
          <w:i w:val="0"/>
          <w:color w:val="auto"/>
          <w:sz w:val="22"/>
          <w:szCs w:val="22"/>
        </w:rPr>
      </w:pPr>
      <w:bookmarkStart w:id="3" w:name="_Ref525211761"/>
      <w:r w:rsidRPr="00C001DA">
        <w:rPr>
          <w:b/>
          <w:i w:val="0"/>
          <w:color w:val="auto"/>
          <w:sz w:val="22"/>
          <w:szCs w:val="22"/>
        </w:rPr>
        <w:t xml:space="preserve">Figure </w:t>
      </w:r>
      <w:r w:rsidRPr="00C001DA">
        <w:rPr>
          <w:b/>
          <w:i w:val="0"/>
          <w:color w:val="auto"/>
          <w:sz w:val="22"/>
          <w:szCs w:val="22"/>
        </w:rPr>
        <w:fldChar w:fldCharType="begin"/>
      </w:r>
      <w:r w:rsidRPr="00C001DA">
        <w:rPr>
          <w:b/>
          <w:i w:val="0"/>
          <w:color w:val="auto"/>
          <w:sz w:val="22"/>
          <w:szCs w:val="22"/>
        </w:rPr>
        <w:instrText xml:space="preserve"> SEQ Figure \* ARABIC </w:instrText>
      </w:r>
      <w:r w:rsidRPr="00C001DA">
        <w:rPr>
          <w:b/>
          <w:i w:val="0"/>
          <w:color w:val="auto"/>
          <w:sz w:val="22"/>
          <w:szCs w:val="22"/>
        </w:rPr>
        <w:fldChar w:fldCharType="separate"/>
      </w:r>
      <w:r w:rsidR="007502FD">
        <w:rPr>
          <w:b/>
          <w:i w:val="0"/>
          <w:noProof/>
          <w:color w:val="auto"/>
          <w:sz w:val="22"/>
          <w:szCs w:val="22"/>
        </w:rPr>
        <w:t>3</w:t>
      </w:r>
      <w:r w:rsidRPr="00C001DA">
        <w:rPr>
          <w:b/>
          <w:i w:val="0"/>
          <w:color w:val="auto"/>
          <w:sz w:val="22"/>
          <w:szCs w:val="22"/>
        </w:rPr>
        <w:fldChar w:fldCharType="end"/>
      </w:r>
      <w:bookmarkEnd w:id="3"/>
      <w:r w:rsidRPr="00C001DA">
        <w:rPr>
          <w:b/>
          <w:i w:val="0"/>
          <w:color w:val="auto"/>
          <w:sz w:val="22"/>
          <w:szCs w:val="22"/>
        </w:rPr>
        <w:t>.</w:t>
      </w:r>
      <w:r w:rsidR="00C001DA" w:rsidRPr="00C001DA">
        <w:rPr>
          <w:b/>
          <w:i w:val="0"/>
          <w:color w:val="auto"/>
          <w:sz w:val="22"/>
          <w:szCs w:val="22"/>
        </w:rPr>
        <w:t xml:space="preserve">  Satellite View of Brooksville North Cement Plant</w:t>
      </w:r>
      <w:r w:rsidR="00B23367">
        <w:rPr>
          <w:b/>
          <w:i w:val="0"/>
          <w:color w:val="auto"/>
          <w:sz w:val="22"/>
          <w:szCs w:val="22"/>
        </w:rPr>
        <w:t>.</w:t>
      </w:r>
    </w:p>
    <w:p w:rsidR="00193F10" w:rsidRPr="00B23367" w:rsidRDefault="001C4E37" w:rsidP="00B23367">
      <w:pPr>
        <w:pStyle w:val="ListParagraph"/>
        <w:numPr>
          <w:ilvl w:val="1"/>
          <w:numId w:val="6"/>
        </w:numPr>
        <w:spacing w:after="120"/>
        <w:ind w:left="720" w:hanging="720"/>
        <w:contextualSpacing w:val="0"/>
        <w:rPr>
          <w:b/>
          <w:bCs/>
          <w:sz w:val="22"/>
          <w:szCs w:val="22"/>
        </w:rPr>
      </w:pPr>
      <w:r w:rsidRPr="00B23367">
        <w:rPr>
          <w:b/>
          <w:bCs/>
          <w:sz w:val="22"/>
          <w:szCs w:val="22"/>
        </w:rPr>
        <w:t xml:space="preserve">Facility </w:t>
      </w:r>
      <w:r w:rsidR="00193F10" w:rsidRPr="00B23367">
        <w:rPr>
          <w:b/>
          <w:bCs/>
          <w:sz w:val="22"/>
          <w:szCs w:val="22"/>
        </w:rPr>
        <w:t>Regulatory Categories</w:t>
      </w:r>
    </w:p>
    <w:p w:rsidR="0036182A" w:rsidRPr="00CC3FDA" w:rsidRDefault="0036182A" w:rsidP="0036182A">
      <w:pPr>
        <w:numPr>
          <w:ilvl w:val="0"/>
          <w:numId w:val="3"/>
        </w:numPr>
        <w:spacing w:after="120"/>
        <w:rPr>
          <w:sz w:val="22"/>
          <w:szCs w:val="22"/>
        </w:rPr>
      </w:pPr>
      <w:r w:rsidRPr="00877418">
        <w:rPr>
          <w:sz w:val="22"/>
          <w:szCs w:val="22"/>
        </w:rPr>
        <w:t xml:space="preserve">The facility </w:t>
      </w:r>
      <w:r w:rsidRPr="00CC3FDA">
        <w:rPr>
          <w:sz w:val="22"/>
          <w:szCs w:val="22"/>
        </w:rPr>
        <w:t>is a major source of hazardous air pollutants (HAP).</w:t>
      </w:r>
    </w:p>
    <w:p w:rsidR="0036182A" w:rsidRPr="00CC3FDA" w:rsidRDefault="0036182A" w:rsidP="0036182A">
      <w:pPr>
        <w:pStyle w:val="BodyText"/>
        <w:numPr>
          <w:ilvl w:val="0"/>
          <w:numId w:val="3"/>
        </w:numPr>
        <w:rPr>
          <w:sz w:val="22"/>
          <w:szCs w:val="22"/>
        </w:rPr>
      </w:pPr>
      <w:r w:rsidRPr="00CC3FDA">
        <w:rPr>
          <w:sz w:val="22"/>
          <w:szCs w:val="22"/>
        </w:rPr>
        <w:t>The facility does not operate units subject to the acid rain provisions of the Clean Air Act (CAA).</w:t>
      </w:r>
    </w:p>
    <w:p w:rsidR="0036182A" w:rsidRPr="00CC3FDA" w:rsidRDefault="0036182A" w:rsidP="0036182A">
      <w:pPr>
        <w:numPr>
          <w:ilvl w:val="0"/>
          <w:numId w:val="3"/>
        </w:numPr>
        <w:spacing w:after="120"/>
        <w:rPr>
          <w:sz w:val="22"/>
          <w:szCs w:val="22"/>
        </w:rPr>
      </w:pPr>
      <w:r w:rsidRPr="00CC3FDA">
        <w:rPr>
          <w:sz w:val="22"/>
          <w:szCs w:val="22"/>
        </w:rPr>
        <w:t>The facility is a Title V major source of air pollution in accordance with Chapter 62-213, F.A.C.</w:t>
      </w:r>
    </w:p>
    <w:p w:rsidR="0036182A" w:rsidRDefault="0036182A" w:rsidP="0036182A">
      <w:pPr>
        <w:numPr>
          <w:ilvl w:val="0"/>
          <w:numId w:val="3"/>
        </w:numPr>
        <w:spacing w:after="120"/>
        <w:rPr>
          <w:sz w:val="22"/>
          <w:szCs w:val="22"/>
        </w:rPr>
      </w:pPr>
      <w:r w:rsidRPr="00CC3FDA">
        <w:rPr>
          <w:sz w:val="22"/>
          <w:szCs w:val="22"/>
        </w:rPr>
        <w:t>The facility is a major stationary</w:t>
      </w:r>
      <w:r>
        <w:rPr>
          <w:sz w:val="22"/>
          <w:szCs w:val="22"/>
        </w:rPr>
        <w:t xml:space="preserve"> source </w:t>
      </w:r>
      <w:r w:rsidRPr="00877418">
        <w:rPr>
          <w:sz w:val="22"/>
          <w:szCs w:val="22"/>
        </w:rPr>
        <w:t>in accordance with Rule 62-212.400</w:t>
      </w:r>
      <w:r>
        <w:rPr>
          <w:sz w:val="22"/>
          <w:szCs w:val="22"/>
        </w:rPr>
        <w:t>(PSD)</w:t>
      </w:r>
      <w:r w:rsidRPr="00877418">
        <w:rPr>
          <w:sz w:val="22"/>
          <w:szCs w:val="22"/>
        </w:rPr>
        <w:t>, F.A.C.</w:t>
      </w:r>
    </w:p>
    <w:p w:rsidR="0036182A" w:rsidRPr="00176C42" w:rsidRDefault="0036182A" w:rsidP="0036182A">
      <w:pPr>
        <w:numPr>
          <w:ilvl w:val="0"/>
          <w:numId w:val="3"/>
        </w:numPr>
        <w:spacing w:after="60"/>
        <w:rPr>
          <w:sz w:val="22"/>
          <w:szCs w:val="22"/>
        </w:rPr>
      </w:pPr>
      <w:r w:rsidRPr="00176C42">
        <w:rPr>
          <w:sz w:val="22"/>
          <w:szCs w:val="22"/>
        </w:rPr>
        <w:t>The facility operate</w:t>
      </w:r>
      <w:r>
        <w:rPr>
          <w:sz w:val="22"/>
          <w:szCs w:val="22"/>
        </w:rPr>
        <w:t>s</w:t>
      </w:r>
      <w:r w:rsidRPr="00176C42">
        <w:rPr>
          <w:sz w:val="22"/>
          <w:szCs w:val="22"/>
        </w:rPr>
        <w:t xml:space="preserve"> units subject to the </w:t>
      </w:r>
      <w:r>
        <w:rPr>
          <w:sz w:val="22"/>
          <w:szCs w:val="22"/>
        </w:rPr>
        <w:t>New Source Performance Standards (</w:t>
      </w:r>
      <w:r w:rsidRPr="00176C42">
        <w:rPr>
          <w:sz w:val="22"/>
          <w:szCs w:val="22"/>
        </w:rPr>
        <w:t>NSPS</w:t>
      </w:r>
      <w:r>
        <w:rPr>
          <w:sz w:val="22"/>
          <w:szCs w:val="22"/>
        </w:rPr>
        <w:t>) of Title 40 Part 60 of the Code of Federal Regulations (</w:t>
      </w:r>
      <w:r w:rsidRPr="00176C42">
        <w:rPr>
          <w:sz w:val="22"/>
          <w:szCs w:val="22"/>
        </w:rPr>
        <w:t>40 CFR 60</w:t>
      </w:r>
      <w:r>
        <w:rPr>
          <w:sz w:val="22"/>
          <w:szCs w:val="22"/>
        </w:rPr>
        <w:t>)</w:t>
      </w:r>
      <w:r w:rsidRPr="00176C42">
        <w:rPr>
          <w:sz w:val="22"/>
          <w:szCs w:val="22"/>
        </w:rPr>
        <w:t>.</w:t>
      </w:r>
      <w:r>
        <w:rPr>
          <w:sz w:val="22"/>
          <w:szCs w:val="22"/>
        </w:rPr>
        <w:t xml:space="preserve">  </w:t>
      </w:r>
    </w:p>
    <w:p w:rsidR="0036182A" w:rsidRPr="003B6274" w:rsidRDefault="0036182A" w:rsidP="0036182A">
      <w:pPr>
        <w:numPr>
          <w:ilvl w:val="0"/>
          <w:numId w:val="3"/>
        </w:numPr>
        <w:spacing w:after="120"/>
        <w:rPr>
          <w:sz w:val="22"/>
          <w:szCs w:val="22"/>
        </w:rPr>
      </w:pPr>
      <w:r>
        <w:rPr>
          <w:sz w:val="22"/>
          <w:szCs w:val="22"/>
        </w:rPr>
        <w:t xml:space="preserve">The facility </w:t>
      </w:r>
      <w:r w:rsidRPr="003B6274">
        <w:rPr>
          <w:sz w:val="22"/>
          <w:szCs w:val="22"/>
        </w:rPr>
        <w:t>operate</w:t>
      </w:r>
      <w:r>
        <w:rPr>
          <w:sz w:val="22"/>
          <w:szCs w:val="22"/>
        </w:rPr>
        <w:t>s</w:t>
      </w:r>
      <w:r w:rsidRPr="003B6274">
        <w:rPr>
          <w:sz w:val="22"/>
          <w:szCs w:val="22"/>
        </w:rPr>
        <w:t xml:space="preserve"> units subject to the National Emissions Standards of Hazardous Air Pollutants</w:t>
      </w:r>
      <w:r>
        <w:rPr>
          <w:sz w:val="22"/>
          <w:szCs w:val="22"/>
        </w:rPr>
        <w:t xml:space="preserve"> (</w:t>
      </w:r>
      <w:r w:rsidRPr="00176C42">
        <w:rPr>
          <w:sz w:val="22"/>
          <w:szCs w:val="22"/>
        </w:rPr>
        <w:t>NESHAP</w:t>
      </w:r>
      <w:r>
        <w:rPr>
          <w:sz w:val="22"/>
          <w:szCs w:val="22"/>
        </w:rPr>
        <w:t>)</w:t>
      </w:r>
      <w:r w:rsidRPr="00176C42">
        <w:rPr>
          <w:sz w:val="22"/>
          <w:szCs w:val="22"/>
        </w:rPr>
        <w:t xml:space="preserve"> of 40 CFR 63.</w:t>
      </w:r>
    </w:p>
    <w:p w:rsidR="00193F10" w:rsidRPr="00B23367" w:rsidRDefault="00193F10" w:rsidP="00B23367">
      <w:pPr>
        <w:pStyle w:val="ListParagraph"/>
        <w:numPr>
          <w:ilvl w:val="1"/>
          <w:numId w:val="6"/>
        </w:numPr>
        <w:spacing w:after="120"/>
        <w:ind w:left="720" w:hanging="720"/>
        <w:contextualSpacing w:val="0"/>
        <w:rPr>
          <w:b/>
          <w:bCs/>
          <w:sz w:val="22"/>
          <w:szCs w:val="22"/>
        </w:rPr>
      </w:pPr>
      <w:r w:rsidRPr="00B23367">
        <w:rPr>
          <w:b/>
          <w:bCs/>
          <w:sz w:val="22"/>
          <w:szCs w:val="22"/>
        </w:rPr>
        <w:t>Project Description</w:t>
      </w:r>
    </w:p>
    <w:p w:rsidR="00193F10" w:rsidRDefault="000F6F01" w:rsidP="00B960D9">
      <w:pPr>
        <w:pStyle w:val="BodyText2"/>
        <w:numPr>
          <w:ilvl w:val="0"/>
          <w:numId w:val="0"/>
        </w:numPr>
        <w:jc w:val="left"/>
      </w:pPr>
      <w:r>
        <w:t>CEMEX requests authorization (</w:t>
      </w:r>
      <w:hyperlink r:id="rId12" w:history="1">
        <w:r w:rsidRPr="002B6427">
          <w:rPr>
            <w:rStyle w:val="Hyperlink"/>
          </w:rPr>
          <w:t>Link to Application</w:t>
        </w:r>
      </w:hyperlink>
      <w:r>
        <w:t>)</w:t>
      </w:r>
      <w:r w:rsidR="002B6427">
        <w:t xml:space="preserve"> to remove </w:t>
      </w:r>
      <w:r w:rsidR="00B23367">
        <w:t xml:space="preserve">the </w:t>
      </w:r>
      <w:r w:rsidR="002B6427" w:rsidRPr="00A47D08">
        <w:rPr>
          <w:szCs w:val="22"/>
        </w:rPr>
        <w:t>requirement to continuously monitor sulfur dioxide (SO</w:t>
      </w:r>
      <w:r w:rsidR="002B6427" w:rsidRPr="00A47D08">
        <w:rPr>
          <w:szCs w:val="22"/>
          <w:vertAlign w:val="subscript"/>
        </w:rPr>
        <w:t>2</w:t>
      </w:r>
      <w:r w:rsidR="002B6427" w:rsidRPr="00A47D08">
        <w:rPr>
          <w:szCs w:val="22"/>
        </w:rPr>
        <w:t>)</w:t>
      </w:r>
      <w:r w:rsidR="002B6427">
        <w:rPr>
          <w:szCs w:val="22"/>
        </w:rPr>
        <w:t xml:space="preserve"> emissions</w:t>
      </w:r>
      <w:r w:rsidR="002B6427" w:rsidRPr="00A47D08">
        <w:rPr>
          <w:szCs w:val="22"/>
        </w:rPr>
        <w:t xml:space="preserve"> through continuous emissions monitoring system (CEMS) on In-Line Kiln </w:t>
      </w:r>
      <w:r w:rsidR="002B6427">
        <w:rPr>
          <w:szCs w:val="22"/>
        </w:rPr>
        <w:t>No</w:t>
      </w:r>
      <w:r w:rsidR="009E1403">
        <w:rPr>
          <w:szCs w:val="22"/>
        </w:rPr>
        <w:t xml:space="preserve"> 1</w:t>
      </w:r>
      <w:r w:rsidR="002B6427">
        <w:rPr>
          <w:szCs w:val="22"/>
        </w:rPr>
        <w:t>; remove thallium monitoring from In-Line Kiln No. 1; replace kiln production from a kiln feed basis to a clinker produced basis; and convert kiln emissions limits from pounds per ton of dry kiln feed to pounds per ton of clinker produced.</w:t>
      </w:r>
    </w:p>
    <w:p w:rsidR="001D66D6" w:rsidRDefault="001D66D6" w:rsidP="00B960D9">
      <w:pPr>
        <w:pStyle w:val="BodyText2"/>
        <w:widowControl w:val="0"/>
        <w:numPr>
          <w:ilvl w:val="0"/>
          <w:numId w:val="0"/>
        </w:numPr>
        <w:jc w:val="left"/>
        <w:rPr>
          <w:szCs w:val="22"/>
        </w:rPr>
      </w:pPr>
      <w:r>
        <w:t>T</w:t>
      </w:r>
      <w:r>
        <w:rPr>
          <w:szCs w:val="22"/>
        </w:rPr>
        <w:t>he following existing emissions units (EU) will be affected by this project.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0F5FCD" w:rsidRPr="003C0497" w:rsidTr="00B23367">
        <w:tc>
          <w:tcPr>
            <w:tcW w:w="794" w:type="dxa"/>
            <w:tcBorders>
              <w:bottom w:val="single" w:sz="12" w:space="0" w:color="auto"/>
            </w:tcBorders>
            <w:shd w:val="clear" w:color="auto" w:fill="B8CCE4" w:themeFill="accent1" w:themeFillTint="66"/>
          </w:tcPr>
          <w:p w:rsidR="000F5FCD" w:rsidRPr="003C0497" w:rsidRDefault="000F5FCD" w:rsidP="007349E9">
            <w:pPr>
              <w:jc w:val="center"/>
              <w:rPr>
                <w:b/>
              </w:rPr>
            </w:pPr>
            <w:r w:rsidRPr="003C0497">
              <w:rPr>
                <w:b/>
              </w:rPr>
              <w:t>EU No.</w:t>
            </w:r>
          </w:p>
        </w:tc>
        <w:tc>
          <w:tcPr>
            <w:tcW w:w="9236" w:type="dxa"/>
            <w:tcBorders>
              <w:bottom w:val="single" w:sz="12" w:space="0" w:color="auto"/>
            </w:tcBorders>
            <w:shd w:val="clear" w:color="auto" w:fill="B8CCE4" w:themeFill="accent1" w:themeFillTint="66"/>
          </w:tcPr>
          <w:p w:rsidR="000F5FCD" w:rsidRPr="003C0497" w:rsidRDefault="000F5FCD" w:rsidP="007349E9">
            <w:r w:rsidRPr="003C0497">
              <w:rPr>
                <w:b/>
              </w:rPr>
              <w:t>Emission Unit Description</w:t>
            </w:r>
          </w:p>
        </w:tc>
      </w:tr>
      <w:tr w:rsidR="000F5FCD" w:rsidRPr="003C0497" w:rsidTr="007349E9">
        <w:tc>
          <w:tcPr>
            <w:tcW w:w="794" w:type="dxa"/>
            <w:tcBorders>
              <w:bottom w:val="single" w:sz="8" w:space="0" w:color="auto"/>
            </w:tcBorders>
          </w:tcPr>
          <w:p w:rsidR="000F5FCD" w:rsidRPr="003C0497" w:rsidRDefault="000F5FCD" w:rsidP="007349E9">
            <w:pPr>
              <w:jc w:val="center"/>
            </w:pPr>
            <w:r w:rsidRPr="003C0497">
              <w:t>003</w:t>
            </w:r>
          </w:p>
        </w:tc>
        <w:tc>
          <w:tcPr>
            <w:tcW w:w="9236" w:type="dxa"/>
            <w:tcBorders>
              <w:bottom w:val="single" w:sz="8" w:space="0" w:color="auto"/>
            </w:tcBorders>
          </w:tcPr>
          <w:p w:rsidR="000F5FCD" w:rsidRPr="003C0497" w:rsidRDefault="000F5FCD" w:rsidP="007349E9">
            <w:r w:rsidRPr="00B4754F">
              <w:t>In-Line Kiln/Raw Mill No. 1 (Baghouse E-55)</w:t>
            </w:r>
          </w:p>
        </w:tc>
      </w:tr>
      <w:tr w:rsidR="000F5FCD" w:rsidRPr="003C0497" w:rsidTr="007349E9">
        <w:tc>
          <w:tcPr>
            <w:tcW w:w="794" w:type="dxa"/>
            <w:tcBorders>
              <w:top w:val="single" w:sz="8" w:space="0" w:color="auto"/>
              <w:bottom w:val="single" w:sz="8" w:space="0" w:color="auto"/>
            </w:tcBorders>
          </w:tcPr>
          <w:p w:rsidR="000F5FCD" w:rsidRPr="003C0497" w:rsidRDefault="000F5FCD" w:rsidP="007349E9">
            <w:pPr>
              <w:jc w:val="center"/>
            </w:pPr>
            <w:r>
              <w:t>004</w:t>
            </w:r>
          </w:p>
        </w:tc>
        <w:tc>
          <w:tcPr>
            <w:tcW w:w="9236" w:type="dxa"/>
            <w:tcBorders>
              <w:top w:val="single" w:sz="8" w:space="0" w:color="auto"/>
              <w:bottom w:val="single" w:sz="8" w:space="0" w:color="auto"/>
            </w:tcBorders>
          </w:tcPr>
          <w:p w:rsidR="000F5FCD" w:rsidRPr="003C0497" w:rsidRDefault="000F5FCD" w:rsidP="007349E9">
            <w:r w:rsidRPr="00B4754F">
              <w:t>Clinker Cooler No. 1 (Baghouse F-18)</w:t>
            </w:r>
          </w:p>
        </w:tc>
      </w:tr>
      <w:tr w:rsidR="000F5FCD" w:rsidRPr="003C0497" w:rsidTr="007349E9">
        <w:tc>
          <w:tcPr>
            <w:tcW w:w="794" w:type="dxa"/>
            <w:tcBorders>
              <w:top w:val="single" w:sz="8" w:space="0" w:color="auto"/>
              <w:bottom w:val="single" w:sz="8" w:space="0" w:color="auto"/>
            </w:tcBorders>
          </w:tcPr>
          <w:p w:rsidR="000F5FCD" w:rsidRPr="003C0497" w:rsidRDefault="000F5FCD" w:rsidP="007349E9">
            <w:pPr>
              <w:jc w:val="center"/>
            </w:pPr>
            <w:r>
              <w:lastRenderedPageBreak/>
              <w:t>014</w:t>
            </w:r>
          </w:p>
        </w:tc>
        <w:tc>
          <w:tcPr>
            <w:tcW w:w="9236" w:type="dxa"/>
            <w:tcBorders>
              <w:top w:val="single" w:sz="8" w:space="0" w:color="auto"/>
              <w:bottom w:val="single" w:sz="8" w:space="0" w:color="auto"/>
            </w:tcBorders>
          </w:tcPr>
          <w:p w:rsidR="000F5FCD" w:rsidRPr="003C0497" w:rsidRDefault="000F5FCD" w:rsidP="007349E9">
            <w:r w:rsidRPr="00B4754F">
              <w:t>In-Line Kiln/Raw Mill No. 2 (Baghouse E-19)</w:t>
            </w:r>
          </w:p>
        </w:tc>
      </w:tr>
      <w:tr w:rsidR="000F5FCD" w:rsidRPr="00877418" w:rsidTr="007349E9">
        <w:tc>
          <w:tcPr>
            <w:tcW w:w="794" w:type="dxa"/>
            <w:tcBorders>
              <w:top w:val="single" w:sz="8" w:space="0" w:color="auto"/>
            </w:tcBorders>
          </w:tcPr>
          <w:p w:rsidR="000F5FCD" w:rsidRPr="003C0497" w:rsidRDefault="000F5FCD" w:rsidP="007349E9">
            <w:pPr>
              <w:jc w:val="center"/>
            </w:pPr>
            <w:r>
              <w:t>015</w:t>
            </w:r>
          </w:p>
        </w:tc>
        <w:tc>
          <w:tcPr>
            <w:tcW w:w="9236" w:type="dxa"/>
            <w:tcBorders>
              <w:top w:val="single" w:sz="8" w:space="0" w:color="auto"/>
            </w:tcBorders>
          </w:tcPr>
          <w:p w:rsidR="000F5FCD" w:rsidRPr="003C0497" w:rsidRDefault="000F5FCD" w:rsidP="007349E9">
            <w:r w:rsidRPr="00B4754F">
              <w:t>Clinker Cooler No. 2 (Baghouse K-09)</w:t>
            </w:r>
          </w:p>
        </w:tc>
      </w:tr>
    </w:tbl>
    <w:p w:rsidR="001C4E37" w:rsidRPr="00B23367" w:rsidRDefault="001C4E37" w:rsidP="00B23367">
      <w:pPr>
        <w:pStyle w:val="ListParagraph"/>
        <w:numPr>
          <w:ilvl w:val="1"/>
          <w:numId w:val="6"/>
        </w:numPr>
        <w:spacing w:before="120" w:after="120"/>
        <w:ind w:left="720" w:hanging="720"/>
        <w:contextualSpacing w:val="0"/>
        <w:rPr>
          <w:b/>
          <w:bCs/>
          <w:sz w:val="22"/>
          <w:szCs w:val="22"/>
        </w:rPr>
      </w:pPr>
      <w:r w:rsidRPr="00B23367">
        <w:rPr>
          <w:b/>
          <w:bCs/>
          <w:sz w:val="22"/>
          <w:szCs w:val="22"/>
        </w:rPr>
        <w:t>Processing Schedule</w:t>
      </w:r>
    </w:p>
    <w:p w:rsidR="001D66D6" w:rsidRPr="00730F9C" w:rsidRDefault="007C64B6" w:rsidP="001D66D6">
      <w:pPr>
        <w:pStyle w:val="BodyText"/>
        <w:widowControl w:val="0"/>
        <w:numPr>
          <w:ilvl w:val="12"/>
          <w:numId w:val="0"/>
        </w:numPr>
        <w:rPr>
          <w:sz w:val="22"/>
          <w:szCs w:val="22"/>
        </w:rPr>
      </w:pPr>
      <w:r>
        <w:rPr>
          <w:sz w:val="22"/>
          <w:szCs w:val="22"/>
        </w:rPr>
        <w:t>4/</w:t>
      </w:r>
      <w:r w:rsidR="008C4CA9">
        <w:rPr>
          <w:sz w:val="22"/>
          <w:szCs w:val="22"/>
        </w:rPr>
        <w:t>0</w:t>
      </w:r>
      <w:r>
        <w:rPr>
          <w:sz w:val="22"/>
          <w:szCs w:val="22"/>
        </w:rPr>
        <w:t>6/2018</w:t>
      </w:r>
      <w:r w:rsidR="001D66D6" w:rsidRPr="00730F9C">
        <w:rPr>
          <w:sz w:val="22"/>
          <w:szCs w:val="22"/>
        </w:rPr>
        <w:tab/>
        <w:t>Department received the application for a</w:t>
      </w:r>
      <w:r w:rsidR="001D66D6">
        <w:rPr>
          <w:sz w:val="22"/>
          <w:szCs w:val="22"/>
        </w:rPr>
        <w:t>n</w:t>
      </w:r>
      <w:r w:rsidR="001D66D6" w:rsidRPr="00730F9C">
        <w:rPr>
          <w:sz w:val="22"/>
          <w:szCs w:val="22"/>
        </w:rPr>
        <w:t xml:space="preserve"> air pollution construction permit.</w:t>
      </w:r>
    </w:p>
    <w:p w:rsidR="001D66D6" w:rsidRPr="00730F9C" w:rsidRDefault="004162F7" w:rsidP="001D66D6">
      <w:pPr>
        <w:pStyle w:val="BodyText"/>
        <w:widowControl w:val="0"/>
        <w:numPr>
          <w:ilvl w:val="12"/>
          <w:numId w:val="0"/>
        </w:numPr>
        <w:rPr>
          <w:sz w:val="22"/>
          <w:szCs w:val="22"/>
        </w:rPr>
      </w:pPr>
      <w:r>
        <w:rPr>
          <w:sz w:val="22"/>
          <w:szCs w:val="22"/>
        </w:rPr>
        <w:t>4/</w:t>
      </w:r>
      <w:r w:rsidR="008C4CA9">
        <w:rPr>
          <w:sz w:val="22"/>
          <w:szCs w:val="22"/>
        </w:rPr>
        <w:t>0</w:t>
      </w:r>
      <w:r>
        <w:rPr>
          <w:sz w:val="22"/>
          <w:szCs w:val="22"/>
        </w:rPr>
        <w:t>6/2018</w:t>
      </w:r>
      <w:r w:rsidR="001D66D6" w:rsidRPr="00730F9C">
        <w:rPr>
          <w:sz w:val="22"/>
          <w:szCs w:val="22"/>
        </w:rPr>
        <w:tab/>
        <w:t>Department requested additional information.</w:t>
      </w:r>
    </w:p>
    <w:p w:rsidR="001D66D6" w:rsidRDefault="004162F7" w:rsidP="001D66D6">
      <w:pPr>
        <w:pStyle w:val="BodyText"/>
        <w:widowControl w:val="0"/>
        <w:numPr>
          <w:ilvl w:val="12"/>
          <w:numId w:val="0"/>
        </w:numPr>
        <w:rPr>
          <w:sz w:val="22"/>
          <w:szCs w:val="22"/>
        </w:rPr>
      </w:pPr>
      <w:r>
        <w:rPr>
          <w:sz w:val="22"/>
          <w:szCs w:val="22"/>
        </w:rPr>
        <w:t>7/13/2018</w:t>
      </w:r>
      <w:r w:rsidR="001D66D6" w:rsidRPr="00730F9C">
        <w:rPr>
          <w:sz w:val="22"/>
          <w:szCs w:val="22"/>
        </w:rPr>
        <w:tab/>
        <w:t>Department received additional information; application complete.</w:t>
      </w:r>
    </w:p>
    <w:p w:rsidR="004162F7" w:rsidRPr="00730F9C" w:rsidRDefault="004162F7" w:rsidP="001D66D6">
      <w:pPr>
        <w:pStyle w:val="BodyText"/>
        <w:widowControl w:val="0"/>
        <w:numPr>
          <w:ilvl w:val="12"/>
          <w:numId w:val="0"/>
        </w:numPr>
        <w:rPr>
          <w:sz w:val="22"/>
          <w:szCs w:val="22"/>
        </w:rPr>
      </w:pPr>
      <w:r w:rsidRPr="00B23367">
        <w:rPr>
          <w:sz w:val="22"/>
          <w:szCs w:val="22"/>
        </w:rPr>
        <w:t>9/</w:t>
      </w:r>
      <w:r w:rsidR="00B23367">
        <w:rPr>
          <w:sz w:val="22"/>
          <w:szCs w:val="22"/>
        </w:rPr>
        <w:t>28</w:t>
      </w:r>
      <w:r>
        <w:rPr>
          <w:sz w:val="22"/>
          <w:szCs w:val="22"/>
        </w:rPr>
        <w:t>/2018</w:t>
      </w:r>
      <w:r>
        <w:rPr>
          <w:sz w:val="22"/>
          <w:szCs w:val="22"/>
        </w:rPr>
        <w:tab/>
        <w:t>Draft permit issued.</w:t>
      </w:r>
    </w:p>
    <w:p w:rsidR="00193F10" w:rsidRPr="00B23367" w:rsidRDefault="00D51D78" w:rsidP="00B23367">
      <w:pPr>
        <w:pStyle w:val="ListParagraph"/>
        <w:numPr>
          <w:ilvl w:val="0"/>
          <w:numId w:val="6"/>
        </w:numPr>
        <w:spacing w:after="120"/>
        <w:ind w:left="720" w:hanging="720"/>
        <w:contextualSpacing w:val="0"/>
        <w:rPr>
          <w:b/>
          <w:caps/>
          <w:sz w:val="22"/>
          <w:szCs w:val="22"/>
        </w:rPr>
      </w:pPr>
      <w:r>
        <w:rPr>
          <w:b/>
          <w:caps/>
          <w:sz w:val="22"/>
        </w:rPr>
        <w:t>PSD Applicability</w:t>
      </w:r>
    </w:p>
    <w:p w:rsidR="0019139F" w:rsidRPr="00FF4E9C" w:rsidRDefault="0019139F" w:rsidP="00B960D9">
      <w:pPr>
        <w:spacing w:before="240" w:after="120"/>
        <w:rPr>
          <w:sz w:val="22"/>
        </w:rPr>
      </w:pPr>
      <w:r w:rsidRPr="000D2E5C">
        <w:rPr>
          <w:sz w:val="22"/>
          <w:szCs w:val="22"/>
        </w:rPr>
        <w:t xml:space="preserve">The project </w:t>
      </w:r>
      <w:r w:rsidR="00B23367" w:rsidRPr="000D2E5C">
        <w:rPr>
          <w:sz w:val="22"/>
          <w:szCs w:val="22"/>
        </w:rPr>
        <w:t>is in</w:t>
      </w:r>
      <w:r>
        <w:rPr>
          <w:sz w:val="22"/>
          <w:szCs w:val="22"/>
        </w:rPr>
        <w:t xml:space="preserve"> </w:t>
      </w:r>
      <w:r w:rsidR="005763EF">
        <w:rPr>
          <w:sz w:val="22"/>
          <w:szCs w:val="22"/>
        </w:rPr>
        <w:t>Hernando</w:t>
      </w:r>
      <w:r>
        <w:rPr>
          <w:sz w:val="22"/>
          <w:szCs w:val="22"/>
        </w:rPr>
        <w:t xml:space="preserve"> </w:t>
      </w:r>
      <w:r w:rsidRPr="000D2E5C">
        <w:rPr>
          <w:sz w:val="22"/>
          <w:szCs w:val="22"/>
        </w:rPr>
        <w:t xml:space="preserve">County which is in an area that is </w:t>
      </w:r>
      <w:r w:rsidRPr="005763EF">
        <w:rPr>
          <w:sz w:val="22"/>
          <w:szCs w:val="22"/>
        </w:rPr>
        <w:t>currently in attainment</w:t>
      </w:r>
      <w:r w:rsidRPr="000D2E5C">
        <w:rPr>
          <w:sz w:val="22"/>
          <w:szCs w:val="22"/>
        </w:rPr>
        <w:t xml:space="preserve"> with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Pr>
          <w:sz w:val="22"/>
          <w:szCs w:val="22"/>
        </w:rPr>
        <w:t>The proposed project will not increase emissions for any PSD pollutant; therefore, the project is not subject to a PSD preconstruction review.</w:t>
      </w:r>
    </w:p>
    <w:p w:rsidR="00193F10" w:rsidRPr="00B23367" w:rsidRDefault="00617209" w:rsidP="00B23367">
      <w:pPr>
        <w:pStyle w:val="ListParagraph"/>
        <w:numPr>
          <w:ilvl w:val="0"/>
          <w:numId w:val="6"/>
        </w:numPr>
        <w:spacing w:after="120"/>
        <w:ind w:left="720" w:hanging="720"/>
        <w:contextualSpacing w:val="0"/>
        <w:rPr>
          <w:b/>
          <w:caps/>
          <w:sz w:val="22"/>
          <w:szCs w:val="22"/>
        </w:rPr>
      </w:pPr>
      <w:r>
        <w:rPr>
          <w:b/>
          <w:caps/>
          <w:sz w:val="22"/>
        </w:rPr>
        <w:t>Department review</w:t>
      </w:r>
    </w:p>
    <w:p w:rsidR="00193F10" w:rsidRPr="00B23367" w:rsidRDefault="008C0232" w:rsidP="00B23367">
      <w:pPr>
        <w:pStyle w:val="ListParagraph"/>
        <w:numPr>
          <w:ilvl w:val="1"/>
          <w:numId w:val="6"/>
        </w:numPr>
        <w:spacing w:after="120"/>
        <w:ind w:left="720" w:hanging="702"/>
        <w:contextualSpacing w:val="0"/>
        <w:rPr>
          <w:b/>
          <w:caps/>
          <w:sz w:val="22"/>
          <w:szCs w:val="22"/>
        </w:rPr>
      </w:pPr>
      <w:r>
        <w:rPr>
          <w:b/>
          <w:sz w:val="22"/>
        </w:rPr>
        <w:t xml:space="preserve">Remove Requirement for </w:t>
      </w:r>
      <w:r w:rsidR="007D270B">
        <w:rPr>
          <w:b/>
          <w:sz w:val="22"/>
        </w:rPr>
        <w:t>SO</w:t>
      </w:r>
      <w:r w:rsidR="007D270B" w:rsidRPr="00036321">
        <w:rPr>
          <w:b/>
          <w:sz w:val="22"/>
          <w:vertAlign w:val="subscript"/>
        </w:rPr>
        <w:t>2</w:t>
      </w:r>
      <w:r>
        <w:rPr>
          <w:b/>
          <w:sz w:val="22"/>
        </w:rPr>
        <w:t xml:space="preserve"> CEMS on Kiln 1</w:t>
      </w:r>
    </w:p>
    <w:p w:rsidR="00193F10" w:rsidRDefault="00B377D8" w:rsidP="00B960D9">
      <w:pPr>
        <w:widowControl w:val="0"/>
        <w:autoSpaceDE w:val="0"/>
        <w:autoSpaceDN w:val="0"/>
        <w:adjustRightInd w:val="0"/>
        <w:spacing w:after="120"/>
        <w:rPr>
          <w:sz w:val="22"/>
          <w:szCs w:val="22"/>
        </w:rPr>
      </w:pPr>
      <w:r>
        <w:rPr>
          <w:sz w:val="22"/>
          <w:szCs w:val="22"/>
        </w:rPr>
        <w:t xml:space="preserve">Kiln No. 1 (EU 003) </w:t>
      </w:r>
      <w:r w:rsidR="00036321">
        <w:rPr>
          <w:sz w:val="22"/>
          <w:szCs w:val="22"/>
        </w:rPr>
        <w:t xml:space="preserve">is required to operate </w:t>
      </w:r>
      <w:r w:rsidR="00B23367">
        <w:rPr>
          <w:sz w:val="22"/>
          <w:szCs w:val="22"/>
        </w:rPr>
        <w:t xml:space="preserve">a </w:t>
      </w:r>
      <w:r w:rsidR="00036321">
        <w:rPr>
          <w:sz w:val="22"/>
          <w:szCs w:val="22"/>
        </w:rPr>
        <w:t>SO</w:t>
      </w:r>
      <w:r w:rsidR="00036321" w:rsidRPr="00036321">
        <w:rPr>
          <w:sz w:val="22"/>
          <w:szCs w:val="22"/>
          <w:vertAlign w:val="subscript"/>
        </w:rPr>
        <w:t>2</w:t>
      </w:r>
      <w:r w:rsidR="00036321">
        <w:rPr>
          <w:sz w:val="22"/>
          <w:szCs w:val="22"/>
        </w:rPr>
        <w:t xml:space="preserve"> CEMS to demonstrate continuous compliance with the SO</w:t>
      </w:r>
      <w:r w:rsidR="00036321" w:rsidRPr="00036321">
        <w:rPr>
          <w:sz w:val="22"/>
          <w:szCs w:val="22"/>
          <w:vertAlign w:val="subscript"/>
        </w:rPr>
        <w:t>2</w:t>
      </w:r>
      <w:r w:rsidR="00036321">
        <w:rPr>
          <w:sz w:val="22"/>
          <w:szCs w:val="22"/>
        </w:rPr>
        <w:t xml:space="preserve"> limit of 0.17 pounds per ton of clinker (lb/ton-c).  The CEMS requirement originates in </w:t>
      </w:r>
      <w:bookmarkStart w:id="4" w:name="_Hlk525553088"/>
      <w:r w:rsidR="00036321">
        <w:rPr>
          <w:sz w:val="22"/>
          <w:szCs w:val="22"/>
        </w:rPr>
        <w:t>permit No. 0530010-030-AC, which was issued pursuant to Rule 62-296.340, F.A.C., which addresses the Best Available Retrofit Technology</w:t>
      </w:r>
      <w:r w:rsidR="002469D8">
        <w:rPr>
          <w:sz w:val="22"/>
          <w:szCs w:val="22"/>
        </w:rPr>
        <w:t xml:space="preserve"> (BART)</w:t>
      </w:r>
      <w:r w:rsidR="00036321">
        <w:rPr>
          <w:sz w:val="22"/>
          <w:szCs w:val="22"/>
        </w:rPr>
        <w:t xml:space="preserve"> requirements</w:t>
      </w:r>
      <w:bookmarkEnd w:id="4"/>
      <w:r w:rsidR="00036321">
        <w:rPr>
          <w:sz w:val="22"/>
          <w:szCs w:val="22"/>
        </w:rPr>
        <w:t xml:space="preserve">.  According to the applicant, </w:t>
      </w:r>
      <w:r w:rsidR="00031B2F">
        <w:rPr>
          <w:sz w:val="22"/>
          <w:szCs w:val="22"/>
        </w:rPr>
        <w:t>since Kiln 1 has consistently emitted low SO</w:t>
      </w:r>
      <w:r w:rsidR="00031B2F" w:rsidRPr="00031B2F">
        <w:rPr>
          <w:sz w:val="22"/>
          <w:szCs w:val="22"/>
          <w:vertAlign w:val="subscript"/>
        </w:rPr>
        <w:t>2</w:t>
      </w:r>
      <w:r w:rsidR="00031B2F">
        <w:rPr>
          <w:sz w:val="22"/>
          <w:szCs w:val="22"/>
        </w:rPr>
        <w:t>, the requirement to operate a CEMS for SO</w:t>
      </w:r>
      <w:r w:rsidR="00031B2F" w:rsidRPr="00031B2F">
        <w:rPr>
          <w:sz w:val="22"/>
          <w:szCs w:val="22"/>
          <w:vertAlign w:val="subscript"/>
        </w:rPr>
        <w:t>2</w:t>
      </w:r>
      <w:r w:rsidR="00031B2F">
        <w:rPr>
          <w:sz w:val="22"/>
          <w:szCs w:val="22"/>
        </w:rPr>
        <w:t xml:space="preserve"> compliance is not justified. </w:t>
      </w:r>
    </w:p>
    <w:p w:rsidR="00031B2F" w:rsidRPr="00B23367" w:rsidRDefault="00031B2F" w:rsidP="00B23367">
      <w:pPr>
        <w:pStyle w:val="ListParagraph"/>
        <w:numPr>
          <w:ilvl w:val="2"/>
          <w:numId w:val="6"/>
        </w:numPr>
        <w:spacing w:after="120"/>
        <w:ind w:left="720" w:hanging="720"/>
        <w:contextualSpacing w:val="0"/>
        <w:rPr>
          <w:b/>
          <w:caps/>
          <w:sz w:val="22"/>
          <w:szCs w:val="22"/>
        </w:rPr>
      </w:pPr>
      <w:r w:rsidRPr="00031B2F">
        <w:rPr>
          <w:b/>
          <w:sz w:val="22"/>
          <w:szCs w:val="22"/>
        </w:rPr>
        <w:t>Control of Raw Material SO</w:t>
      </w:r>
      <w:r w:rsidRPr="00031B2F">
        <w:rPr>
          <w:b/>
          <w:sz w:val="22"/>
          <w:szCs w:val="22"/>
          <w:vertAlign w:val="subscript"/>
        </w:rPr>
        <w:t>2</w:t>
      </w:r>
    </w:p>
    <w:p w:rsidR="00031B2F" w:rsidRPr="00AB7B0E" w:rsidRDefault="00031B2F" w:rsidP="00031B2F">
      <w:pPr>
        <w:pStyle w:val="BodyText"/>
        <w:widowControl w:val="0"/>
        <w:rPr>
          <w:sz w:val="22"/>
          <w:szCs w:val="22"/>
        </w:rPr>
      </w:pPr>
      <w:r>
        <w:rPr>
          <w:sz w:val="22"/>
          <w:szCs w:val="22"/>
        </w:rPr>
        <w:t>Sulfide, or elemental sulfur contained in raw materials may be “roasted” or oxidized to SO</w:t>
      </w:r>
      <w:r w:rsidRPr="00CF5863">
        <w:rPr>
          <w:sz w:val="22"/>
          <w:szCs w:val="22"/>
          <w:vertAlign w:val="subscript"/>
        </w:rPr>
        <w:t>2</w:t>
      </w:r>
      <w:r>
        <w:rPr>
          <w:sz w:val="22"/>
          <w:szCs w:val="22"/>
        </w:rPr>
        <w:t xml:space="preserve"> in areas of the pyroprocessing system where sufficient oxygen is present and the material temperature is in the range of 300-600</w:t>
      </w:r>
      <w:r w:rsidRPr="000303D2">
        <w:rPr>
          <w:rFonts w:eastAsia="Calibri"/>
          <w:sz w:val="22"/>
          <w:szCs w:val="22"/>
        </w:rPr>
        <w:t xml:space="preserve"> </w:t>
      </w:r>
      <w:r>
        <w:rPr>
          <w:rFonts w:eastAsia="Calibri"/>
          <w:sz w:val="22"/>
          <w:szCs w:val="22"/>
        </w:rPr>
        <w:t>degrees Centigrade (</w:t>
      </w:r>
      <w:r w:rsidRPr="00AB7B0E">
        <w:rPr>
          <w:rFonts w:eastAsia="Calibri"/>
          <w:sz w:val="22"/>
          <w:szCs w:val="22"/>
        </w:rPr>
        <w:t>°C</w:t>
      </w:r>
      <w:r>
        <w:rPr>
          <w:rFonts w:eastAsia="Calibri"/>
          <w:sz w:val="22"/>
          <w:szCs w:val="22"/>
        </w:rPr>
        <w:t>)</w:t>
      </w:r>
      <w:r>
        <w:rPr>
          <w:sz w:val="22"/>
          <w:szCs w:val="22"/>
        </w:rPr>
        <w:t xml:space="preserve"> </w:t>
      </w:r>
      <w:r>
        <w:rPr>
          <w:rStyle w:val="FootnoteReference"/>
          <w:sz w:val="22"/>
          <w:szCs w:val="22"/>
        </w:rPr>
        <w:footnoteReference w:id="1"/>
      </w:r>
      <w:r>
        <w:rPr>
          <w:sz w:val="22"/>
          <w:szCs w:val="22"/>
        </w:rPr>
        <w:t xml:space="preserve"> </w:t>
      </w:r>
      <w:r>
        <w:rPr>
          <w:rStyle w:val="FootnoteReference"/>
          <w:sz w:val="22"/>
          <w:szCs w:val="22"/>
        </w:rPr>
        <w:footnoteReference w:id="2"/>
      </w:r>
      <w:r>
        <w:rPr>
          <w:sz w:val="22"/>
          <w:szCs w:val="22"/>
        </w:rPr>
        <w:t xml:space="preserve">.  </w:t>
      </w:r>
      <w:r w:rsidRPr="00B56F50">
        <w:rPr>
          <w:sz w:val="22"/>
          <w:szCs w:val="22"/>
        </w:rPr>
        <w:t>Uncontrolled SO</w:t>
      </w:r>
      <w:r w:rsidRPr="00B56F50">
        <w:rPr>
          <w:sz w:val="22"/>
          <w:szCs w:val="22"/>
          <w:vertAlign w:val="subscript"/>
        </w:rPr>
        <w:t>2</w:t>
      </w:r>
      <w:r w:rsidRPr="00B56F50">
        <w:rPr>
          <w:sz w:val="22"/>
          <w:szCs w:val="22"/>
        </w:rPr>
        <w:t xml:space="preserve"> emissions can be very significant when pyritic sulfur is present in the raw materials and much greater than the very minimal emissions caused by fuel sulfur.  However, SO</w:t>
      </w:r>
      <w:r w:rsidRPr="00B56F50">
        <w:rPr>
          <w:sz w:val="22"/>
          <w:szCs w:val="22"/>
          <w:vertAlign w:val="subscript"/>
        </w:rPr>
        <w:t>2</w:t>
      </w:r>
      <w:r w:rsidRPr="00B56F50">
        <w:rPr>
          <w:sz w:val="22"/>
          <w:szCs w:val="22"/>
        </w:rPr>
        <w:t xml:space="preserve"> emissions are very low at Florida preheater/calciner kilns because there are only minute amounts of sulfides in most of the available limestone, </w:t>
      </w:r>
      <w:proofErr w:type="gramStart"/>
      <w:r w:rsidRPr="00B56F50">
        <w:rPr>
          <w:sz w:val="22"/>
          <w:szCs w:val="22"/>
        </w:rPr>
        <w:t>with the exception of</w:t>
      </w:r>
      <w:proofErr w:type="gramEnd"/>
      <w:r w:rsidRPr="00B56F50">
        <w:rPr>
          <w:sz w:val="22"/>
          <w:szCs w:val="22"/>
        </w:rPr>
        <w:t xml:space="preserve"> random pockets in northern Florida.  </w:t>
      </w:r>
    </w:p>
    <w:p w:rsidR="00031B2F" w:rsidRPr="00AB7B0E" w:rsidRDefault="00031B2F" w:rsidP="00031B2F">
      <w:pPr>
        <w:pStyle w:val="BodyText"/>
        <w:widowControl w:val="0"/>
        <w:rPr>
          <w:sz w:val="22"/>
          <w:szCs w:val="22"/>
        </w:rPr>
      </w:pPr>
      <w:r w:rsidRPr="00094F25">
        <w:rPr>
          <w:sz w:val="22"/>
          <w:szCs w:val="22"/>
        </w:rPr>
        <w:t>Operating the raw mill promotes raw material SO</w:t>
      </w:r>
      <w:r w:rsidRPr="00094F25">
        <w:rPr>
          <w:sz w:val="22"/>
          <w:szCs w:val="22"/>
          <w:vertAlign w:val="subscript"/>
        </w:rPr>
        <w:t>2</w:t>
      </w:r>
      <w:r w:rsidRPr="00094F25">
        <w:rPr>
          <w:sz w:val="22"/>
          <w:szCs w:val="22"/>
        </w:rPr>
        <w:t xml:space="preserve"> removal by limestone scrubbing under humid conditions, due</w:t>
      </w:r>
      <w:r>
        <w:rPr>
          <w:sz w:val="22"/>
          <w:szCs w:val="22"/>
        </w:rPr>
        <w:t>,</w:t>
      </w:r>
      <w:r w:rsidRPr="00094F25">
        <w:rPr>
          <w:sz w:val="22"/>
          <w:szCs w:val="22"/>
        </w:rPr>
        <w:t xml:space="preserve"> in part</w:t>
      </w:r>
      <w:r>
        <w:rPr>
          <w:sz w:val="22"/>
          <w:szCs w:val="22"/>
        </w:rPr>
        <w:t>,</w:t>
      </w:r>
      <w:r w:rsidRPr="00094F25">
        <w:rPr>
          <w:sz w:val="22"/>
          <w:szCs w:val="22"/>
        </w:rPr>
        <w:t xml:space="preserve"> to freshly generated limestone surface produced by grinding.  Some of the SO</w:t>
      </w:r>
      <w:r w:rsidRPr="00094F25">
        <w:rPr>
          <w:sz w:val="22"/>
          <w:szCs w:val="22"/>
          <w:vertAlign w:val="subscript"/>
        </w:rPr>
        <w:t>2</w:t>
      </w:r>
      <w:r w:rsidRPr="00094F25">
        <w:rPr>
          <w:sz w:val="22"/>
          <w:szCs w:val="22"/>
        </w:rPr>
        <w:t xml:space="preserve"> generated in the top preheater stages is also scrubbed out by small amounts of free </w:t>
      </w:r>
      <w:r>
        <w:rPr>
          <w:sz w:val="22"/>
          <w:szCs w:val="22"/>
        </w:rPr>
        <w:t xml:space="preserve">lime </w:t>
      </w:r>
      <w:r w:rsidRPr="00094F25">
        <w:rPr>
          <w:sz w:val="22"/>
          <w:szCs w:val="22"/>
        </w:rPr>
        <w:t>that are carried back from hotter zones by combustion flue gases.</w:t>
      </w:r>
    </w:p>
    <w:p w:rsidR="00031B2F" w:rsidRPr="00051B4C" w:rsidRDefault="00031B2F" w:rsidP="00031B2F">
      <w:pPr>
        <w:pStyle w:val="BodyText"/>
        <w:rPr>
          <w:sz w:val="22"/>
          <w:szCs w:val="22"/>
        </w:rPr>
      </w:pPr>
      <w:r w:rsidRPr="00051B4C">
        <w:rPr>
          <w:sz w:val="22"/>
          <w:szCs w:val="22"/>
        </w:rPr>
        <w:t>Another SO</w:t>
      </w:r>
      <w:r w:rsidRPr="00051B4C">
        <w:rPr>
          <w:sz w:val="22"/>
          <w:szCs w:val="22"/>
          <w:vertAlign w:val="subscript"/>
        </w:rPr>
        <w:t>2</w:t>
      </w:r>
      <w:r w:rsidRPr="00051B4C">
        <w:rPr>
          <w:sz w:val="22"/>
          <w:szCs w:val="22"/>
        </w:rPr>
        <w:t xml:space="preserve"> removal technique is to extend the inherent self-scrubbing (by </w:t>
      </w:r>
      <w:r>
        <w:rPr>
          <w:sz w:val="22"/>
          <w:szCs w:val="22"/>
        </w:rPr>
        <w:t>lime</w:t>
      </w:r>
      <w:r w:rsidRPr="00051B4C">
        <w:rPr>
          <w:sz w:val="22"/>
          <w:szCs w:val="22"/>
        </w:rPr>
        <w:t>) that occurs in the calciner to the upper sections of the preheater where pyrite-derived SO</w:t>
      </w:r>
      <w:r w:rsidRPr="00051B4C">
        <w:rPr>
          <w:sz w:val="22"/>
          <w:szCs w:val="22"/>
          <w:vertAlign w:val="subscript"/>
        </w:rPr>
        <w:t>2</w:t>
      </w:r>
      <w:r w:rsidRPr="00051B4C">
        <w:rPr>
          <w:sz w:val="22"/>
          <w:szCs w:val="22"/>
        </w:rPr>
        <w:t xml:space="preserve"> is evolved. This involves conveyance of lime from the calciner (by differential pressure) to the upper stages of the preheater. The system consists of a cyclone and some ductwork</w:t>
      </w:r>
      <w:r>
        <w:rPr>
          <w:sz w:val="22"/>
          <w:szCs w:val="22"/>
        </w:rPr>
        <w:t>,</w:t>
      </w:r>
      <w:r w:rsidRPr="00051B4C">
        <w:rPr>
          <w:sz w:val="22"/>
          <w:szCs w:val="22"/>
        </w:rPr>
        <w:t xml:space="preserve"> and involves no moving parts</w:t>
      </w:r>
      <w:r>
        <w:rPr>
          <w:rStyle w:val="FootnoteReference"/>
          <w:sz w:val="22"/>
          <w:szCs w:val="22"/>
        </w:rPr>
        <w:footnoteReference w:id="3"/>
      </w:r>
      <w:r w:rsidRPr="00051B4C">
        <w:rPr>
          <w:sz w:val="22"/>
          <w:szCs w:val="22"/>
        </w:rPr>
        <w:t>.</w:t>
      </w:r>
      <w:r w:rsidR="00F86FDC">
        <w:rPr>
          <w:sz w:val="22"/>
          <w:szCs w:val="22"/>
        </w:rPr>
        <w:t xml:space="preserve">  </w:t>
      </w:r>
      <w:r w:rsidR="00F86FDC" w:rsidRPr="00F86FDC">
        <w:rPr>
          <w:sz w:val="22"/>
          <w:szCs w:val="22"/>
        </w:rPr>
        <w:t>A very fine suspension of slaked lime can be introduced into the gas-conditioning tower to remove SO</w:t>
      </w:r>
      <w:r w:rsidR="00F86FDC" w:rsidRPr="00F86FDC">
        <w:rPr>
          <w:sz w:val="22"/>
          <w:szCs w:val="22"/>
          <w:vertAlign w:val="subscript"/>
        </w:rPr>
        <w:t>2</w:t>
      </w:r>
      <w:r w:rsidR="00F86FDC" w:rsidRPr="00F86FDC">
        <w:rPr>
          <w:sz w:val="22"/>
          <w:szCs w:val="22"/>
        </w:rPr>
        <w:t xml:space="preserve">, particularly when the raw mill does not operate. The droplets react, dry, and </w:t>
      </w:r>
      <w:r w:rsidR="00F86FDC" w:rsidRPr="00F86FDC">
        <w:rPr>
          <w:sz w:val="22"/>
          <w:szCs w:val="22"/>
        </w:rPr>
        <w:lastRenderedPageBreak/>
        <w:t>are captured by the particulate control equipment where excess lime (from the dried droplets) continues to remove remaining SO</w:t>
      </w:r>
      <w:r w:rsidR="00F86FDC" w:rsidRPr="00F86FDC">
        <w:rPr>
          <w:sz w:val="22"/>
          <w:szCs w:val="22"/>
          <w:vertAlign w:val="subscript"/>
        </w:rPr>
        <w:t>2</w:t>
      </w:r>
      <w:r w:rsidR="00F86FDC" w:rsidRPr="00F86FDC">
        <w:rPr>
          <w:sz w:val="22"/>
          <w:szCs w:val="22"/>
          <w:vertAlign w:val="superscript"/>
        </w:rPr>
        <w:footnoteReference w:id="4"/>
      </w:r>
      <w:r w:rsidR="00F86FDC" w:rsidRPr="00F86FDC">
        <w:rPr>
          <w:sz w:val="22"/>
          <w:szCs w:val="22"/>
        </w:rPr>
        <w:t>.</w:t>
      </w:r>
    </w:p>
    <w:p w:rsidR="00031B2F" w:rsidRDefault="00031B2F" w:rsidP="00031B2F">
      <w:pPr>
        <w:pStyle w:val="BodyText"/>
        <w:widowControl w:val="0"/>
        <w:rPr>
          <w:sz w:val="22"/>
          <w:szCs w:val="22"/>
        </w:rPr>
      </w:pPr>
      <w:r w:rsidRPr="00655C7F">
        <w:rPr>
          <w:sz w:val="22"/>
          <w:szCs w:val="22"/>
        </w:rPr>
        <w:t>The inherently low SO</w:t>
      </w:r>
      <w:r w:rsidRPr="009E2D95">
        <w:rPr>
          <w:sz w:val="22"/>
          <w:szCs w:val="22"/>
          <w:vertAlign w:val="subscript"/>
        </w:rPr>
        <w:t>2</w:t>
      </w:r>
      <w:r w:rsidRPr="00655C7F">
        <w:rPr>
          <w:sz w:val="22"/>
          <w:szCs w:val="22"/>
        </w:rPr>
        <w:t xml:space="preserve"> emissions from cement kilns in Florida do not warrant serious consideration of add on control equipment or any of the procedures</w:t>
      </w:r>
      <w:r>
        <w:rPr>
          <w:sz w:val="22"/>
          <w:szCs w:val="22"/>
        </w:rPr>
        <w:t xml:space="preserve"> </w:t>
      </w:r>
      <w:r w:rsidRPr="00655C7F">
        <w:rPr>
          <w:sz w:val="22"/>
          <w:szCs w:val="22"/>
        </w:rPr>
        <w:t xml:space="preserve">described </w:t>
      </w:r>
      <w:r>
        <w:rPr>
          <w:sz w:val="22"/>
          <w:szCs w:val="22"/>
        </w:rPr>
        <w:t>above</w:t>
      </w:r>
      <w:r w:rsidRPr="00655C7F">
        <w:rPr>
          <w:sz w:val="22"/>
          <w:szCs w:val="22"/>
        </w:rPr>
        <w:t xml:space="preserve">. </w:t>
      </w:r>
      <w:r>
        <w:rPr>
          <w:sz w:val="22"/>
          <w:szCs w:val="22"/>
        </w:rPr>
        <w:t xml:space="preserve"> </w:t>
      </w:r>
      <w:r w:rsidRPr="00655C7F">
        <w:rPr>
          <w:sz w:val="22"/>
          <w:szCs w:val="22"/>
        </w:rPr>
        <w:t xml:space="preserve">The exception is in parts of the state where some limestone deposits contain pyrites or chert. </w:t>
      </w:r>
      <w:r>
        <w:rPr>
          <w:sz w:val="22"/>
          <w:szCs w:val="22"/>
        </w:rPr>
        <w:t xml:space="preserve"> </w:t>
      </w:r>
      <w:r w:rsidRPr="00655C7F">
        <w:rPr>
          <w:sz w:val="22"/>
          <w:szCs w:val="22"/>
        </w:rPr>
        <w:t>In such cases, SO</w:t>
      </w:r>
      <w:r w:rsidRPr="009E2D95">
        <w:rPr>
          <w:sz w:val="22"/>
          <w:szCs w:val="22"/>
          <w:vertAlign w:val="subscript"/>
        </w:rPr>
        <w:t>2</w:t>
      </w:r>
      <w:r w:rsidRPr="00655C7F">
        <w:rPr>
          <w:sz w:val="22"/>
          <w:szCs w:val="22"/>
        </w:rPr>
        <w:t xml:space="preserve"> emissions are minimized by selective mining or intermittent hydrated lime injection.</w:t>
      </w:r>
    </w:p>
    <w:p w:rsidR="00031B2F" w:rsidRPr="00B23367" w:rsidRDefault="002479C9" w:rsidP="00B23367">
      <w:pPr>
        <w:pStyle w:val="ListParagraph"/>
        <w:numPr>
          <w:ilvl w:val="2"/>
          <w:numId w:val="6"/>
        </w:numPr>
        <w:spacing w:after="120"/>
        <w:ind w:left="720" w:hanging="720"/>
        <w:contextualSpacing w:val="0"/>
        <w:rPr>
          <w:b/>
          <w:sz w:val="22"/>
          <w:szCs w:val="22"/>
        </w:rPr>
      </w:pPr>
      <w:bookmarkStart w:id="5" w:name="_Hlk525550657"/>
      <w:r w:rsidRPr="002479C9">
        <w:rPr>
          <w:b/>
          <w:sz w:val="22"/>
          <w:szCs w:val="22"/>
        </w:rPr>
        <w:t>Annual SO</w:t>
      </w:r>
      <w:r w:rsidRPr="00B23367">
        <w:rPr>
          <w:b/>
          <w:sz w:val="22"/>
          <w:szCs w:val="22"/>
          <w:vertAlign w:val="subscript"/>
        </w:rPr>
        <w:t>2</w:t>
      </w:r>
      <w:r w:rsidRPr="002479C9">
        <w:rPr>
          <w:b/>
          <w:sz w:val="22"/>
          <w:szCs w:val="22"/>
        </w:rPr>
        <w:t xml:space="preserve"> Emissions </w:t>
      </w:r>
      <w:bookmarkEnd w:id="5"/>
      <w:r w:rsidR="00BB37CE">
        <w:rPr>
          <w:b/>
          <w:sz w:val="22"/>
          <w:szCs w:val="22"/>
        </w:rPr>
        <w:t>from Kiln 1</w:t>
      </w:r>
    </w:p>
    <w:p w:rsidR="00031B2F" w:rsidRDefault="0009648F" w:rsidP="00B960D9">
      <w:pPr>
        <w:widowControl w:val="0"/>
        <w:autoSpaceDE w:val="0"/>
        <w:autoSpaceDN w:val="0"/>
        <w:adjustRightInd w:val="0"/>
        <w:spacing w:after="120"/>
        <w:rPr>
          <w:sz w:val="22"/>
          <w:szCs w:val="22"/>
        </w:rPr>
      </w:pPr>
      <w:r>
        <w:rPr>
          <w:sz w:val="22"/>
          <w:szCs w:val="22"/>
        </w:rPr>
        <w:t xml:space="preserve">The applicant provided the values summarized in </w:t>
      </w:r>
      <w:r w:rsidR="00CB2561" w:rsidRPr="00CB2561">
        <w:rPr>
          <w:b/>
          <w:sz w:val="22"/>
          <w:szCs w:val="22"/>
        </w:rPr>
        <w:fldChar w:fldCharType="begin"/>
      </w:r>
      <w:r w:rsidR="00CB2561" w:rsidRPr="00CB2561">
        <w:rPr>
          <w:b/>
          <w:sz w:val="22"/>
          <w:szCs w:val="22"/>
        </w:rPr>
        <w:instrText xml:space="preserve"> REF _Ref525551766 \h  \* MERGEFORMAT </w:instrText>
      </w:r>
      <w:r w:rsidR="00CB2561" w:rsidRPr="00CB2561">
        <w:rPr>
          <w:b/>
          <w:sz w:val="22"/>
          <w:szCs w:val="22"/>
        </w:rPr>
      </w:r>
      <w:r w:rsidR="00CB2561" w:rsidRPr="00CB2561">
        <w:rPr>
          <w:b/>
          <w:sz w:val="22"/>
          <w:szCs w:val="22"/>
        </w:rPr>
        <w:fldChar w:fldCharType="separate"/>
      </w:r>
      <w:r w:rsidR="00CB2561" w:rsidRPr="00CB2561">
        <w:rPr>
          <w:b/>
          <w:sz w:val="22"/>
        </w:rPr>
        <w:t xml:space="preserve">Table </w:t>
      </w:r>
      <w:r w:rsidR="00CB2561" w:rsidRPr="00CB2561">
        <w:rPr>
          <w:b/>
          <w:noProof/>
          <w:sz w:val="22"/>
        </w:rPr>
        <w:t>1</w:t>
      </w:r>
      <w:r w:rsidR="00CB2561" w:rsidRPr="00CB2561">
        <w:rPr>
          <w:b/>
          <w:sz w:val="22"/>
          <w:szCs w:val="22"/>
        </w:rPr>
        <w:fldChar w:fldCharType="end"/>
      </w:r>
      <w:r w:rsidR="00B23367" w:rsidRPr="00B23367">
        <w:rPr>
          <w:sz w:val="22"/>
          <w:szCs w:val="22"/>
        </w:rPr>
        <w:t xml:space="preserve"> (note</w:t>
      </w:r>
      <w:r w:rsidR="00B23367">
        <w:rPr>
          <w:sz w:val="22"/>
          <w:szCs w:val="22"/>
        </w:rPr>
        <w:t xml:space="preserve">: </w:t>
      </w:r>
      <w:r w:rsidR="00B23367" w:rsidRPr="00B23367">
        <w:rPr>
          <w:sz w:val="22"/>
          <w:szCs w:val="22"/>
        </w:rPr>
        <w:t xml:space="preserve"> Kiln 1 has not operated since 2008)</w:t>
      </w:r>
      <w:r w:rsidRPr="00B23367">
        <w:rPr>
          <w:sz w:val="22"/>
          <w:szCs w:val="22"/>
        </w:rPr>
        <w:t>.</w:t>
      </w:r>
    </w:p>
    <w:p w:rsidR="0009648F" w:rsidRPr="00B23367" w:rsidRDefault="005A42FF" w:rsidP="00B23367">
      <w:pPr>
        <w:pStyle w:val="Caption"/>
        <w:spacing w:after="120"/>
        <w:jc w:val="center"/>
        <w:rPr>
          <w:rFonts w:ascii="Times New Roman Bold" w:hAnsi="Times New Roman Bold"/>
          <w:b/>
          <w:i w:val="0"/>
          <w:caps/>
          <w:color w:val="auto"/>
          <w:sz w:val="22"/>
          <w:szCs w:val="22"/>
        </w:rPr>
      </w:pPr>
      <w:bookmarkStart w:id="6" w:name="_Ref525551766"/>
      <w:r w:rsidRPr="00B23367">
        <w:rPr>
          <w:rFonts w:ascii="Times New Roman Bold" w:hAnsi="Times New Roman Bold"/>
          <w:b/>
          <w:i w:val="0"/>
          <w:caps/>
          <w:color w:val="auto"/>
          <w:sz w:val="22"/>
        </w:rPr>
        <w:t xml:space="preserve">Table </w:t>
      </w:r>
      <w:r w:rsidRPr="00B23367">
        <w:rPr>
          <w:rFonts w:ascii="Times New Roman Bold" w:hAnsi="Times New Roman Bold"/>
          <w:b/>
          <w:i w:val="0"/>
          <w:caps/>
          <w:color w:val="auto"/>
          <w:sz w:val="22"/>
        </w:rPr>
        <w:fldChar w:fldCharType="begin"/>
      </w:r>
      <w:r w:rsidRPr="00B23367">
        <w:rPr>
          <w:rFonts w:ascii="Times New Roman Bold" w:hAnsi="Times New Roman Bold"/>
          <w:b/>
          <w:i w:val="0"/>
          <w:caps/>
          <w:color w:val="auto"/>
          <w:sz w:val="22"/>
        </w:rPr>
        <w:instrText xml:space="preserve"> SEQ Table \* ARABIC </w:instrText>
      </w:r>
      <w:r w:rsidRPr="00B23367">
        <w:rPr>
          <w:rFonts w:ascii="Times New Roman Bold" w:hAnsi="Times New Roman Bold"/>
          <w:b/>
          <w:i w:val="0"/>
          <w:caps/>
          <w:color w:val="auto"/>
          <w:sz w:val="22"/>
        </w:rPr>
        <w:fldChar w:fldCharType="separate"/>
      </w:r>
      <w:r w:rsidRPr="00B23367">
        <w:rPr>
          <w:rFonts w:ascii="Times New Roman Bold" w:hAnsi="Times New Roman Bold"/>
          <w:b/>
          <w:i w:val="0"/>
          <w:caps/>
          <w:noProof/>
          <w:color w:val="auto"/>
          <w:sz w:val="22"/>
        </w:rPr>
        <w:t>1</w:t>
      </w:r>
      <w:r w:rsidRPr="00B23367">
        <w:rPr>
          <w:rFonts w:ascii="Times New Roman Bold" w:hAnsi="Times New Roman Bold"/>
          <w:b/>
          <w:i w:val="0"/>
          <w:caps/>
          <w:color w:val="auto"/>
          <w:sz w:val="22"/>
        </w:rPr>
        <w:fldChar w:fldCharType="end"/>
      </w:r>
      <w:bookmarkEnd w:id="6"/>
      <w:r w:rsidRPr="00B23367">
        <w:rPr>
          <w:rFonts w:ascii="Times New Roman Bold" w:hAnsi="Times New Roman Bold"/>
          <w:b/>
          <w:i w:val="0"/>
          <w:caps/>
          <w:color w:val="auto"/>
          <w:sz w:val="22"/>
        </w:rPr>
        <w:t xml:space="preserve">.  </w:t>
      </w:r>
      <w:r w:rsidR="009C4119" w:rsidRPr="00B23367">
        <w:rPr>
          <w:rFonts w:ascii="Times New Roman Bold" w:hAnsi="Times New Roman Bold"/>
          <w:b/>
          <w:i w:val="0"/>
          <w:caps/>
          <w:color w:val="auto"/>
          <w:sz w:val="22"/>
        </w:rPr>
        <w:t>Annual SO</w:t>
      </w:r>
      <w:r w:rsidR="009C4119" w:rsidRPr="00B23367">
        <w:rPr>
          <w:rFonts w:ascii="Times New Roman Bold" w:hAnsi="Times New Roman Bold"/>
          <w:b/>
          <w:i w:val="0"/>
          <w:caps/>
          <w:color w:val="auto"/>
          <w:sz w:val="22"/>
          <w:vertAlign w:val="subscript"/>
        </w:rPr>
        <w:t>2</w:t>
      </w:r>
      <w:r w:rsidR="009C4119" w:rsidRPr="00B23367">
        <w:rPr>
          <w:rFonts w:ascii="Times New Roman Bold" w:hAnsi="Times New Roman Bold"/>
          <w:b/>
          <w:i w:val="0"/>
          <w:caps/>
          <w:color w:val="auto"/>
          <w:sz w:val="22"/>
        </w:rPr>
        <w:t xml:space="preserve"> Emissions </w:t>
      </w:r>
      <w:r w:rsidR="00BB37CE" w:rsidRPr="00B23367">
        <w:rPr>
          <w:rFonts w:ascii="Times New Roman Bold" w:hAnsi="Times New Roman Bold"/>
          <w:b/>
          <w:i w:val="0"/>
          <w:caps/>
          <w:color w:val="auto"/>
          <w:sz w:val="22"/>
        </w:rPr>
        <w:t>from Kiln 1</w:t>
      </w:r>
      <w:r w:rsidR="00B23367">
        <w:rPr>
          <w:rFonts w:ascii="Times New Roman Bold" w:hAnsi="Times New Roman Bold"/>
          <w:b/>
          <w:i w:val="0"/>
          <w:caps/>
          <w:color w:val="auto"/>
          <w:sz w:val="22"/>
        </w:rP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5"/>
        <w:gridCol w:w="1800"/>
        <w:gridCol w:w="2160"/>
        <w:gridCol w:w="1620"/>
      </w:tblGrid>
      <w:tr w:rsidR="009E1C17" w:rsidRPr="00C33A91" w:rsidTr="00B23367">
        <w:trPr>
          <w:jc w:val="center"/>
        </w:trPr>
        <w:tc>
          <w:tcPr>
            <w:tcW w:w="1155" w:type="dxa"/>
            <w:tcBorders>
              <w:top w:val="single" w:sz="12" w:space="0" w:color="auto"/>
              <w:bottom w:val="single" w:sz="12" w:space="0" w:color="auto"/>
              <w:right w:val="single" w:sz="12" w:space="0" w:color="auto"/>
            </w:tcBorders>
            <w:shd w:val="clear" w:color="auto" w:fill="B8CCE4" w:themeFill="accent1" w:themeFillTint="66"/>
            <w:vAlign w:val="center"/>
          </w:tcPr>
          <w:p w:rsidR="009E1C17" w:rsidRPr="00C33A91" w:rsidRDefault="009E1C17" w:rsidP="004C4B7C">
            <w:pPr>
              <w:pStyle w:val="BodyText"/>
              <w:widowControl w:val="0"/>
              <w:jc w:val="center"/>
              <w:rPr>
                <w:b/>
                <w:sz w:val="20"/>
              </w:rPr>
            </w:pPr>
            <w:r w:rsidRPr="00C33A91">
              <w:rPr>
                <w:b/>
                <w:sz w:val="20"/>
              </w:rPr>
              <w:t>Year</w:t>
            </w:r>
          </w:p>
        </w:tc>
        <w:tc>
          <w:tcPr>
            <w:tcW w:w="1800"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rsidR="009E1C17" w:rsidRPr="00C33A91" w:rsidRDefault="009E1C17" w:rsidP="004C4B7C">
            <w:pPr>
              <w:pStyle w:val="BodyText"/>
              <w:widowControl w:val="0"/>
              <w:jc w:val="center"/>
              <w:rPr>
                <w:b/>
                <w:sz w:val="20"/>
              </w:rPr>
            </w:pPr>
            <w:r w:rsidRPr="00C33A91">
              <w:rPr>
                <w:b/>
                <w:sz w:val="20"/>
              </w:rPr>
              <w:t>SO</w:t>
            </w:r>
            <w:r w:rsidRPr="00C33A91">
              <w:rPr>
                <w:b/>
                <w:sz w:val="20"/>
                <w:vertAlign w:val="subscript"/>
              </w:rPr>
              <w:t>2</w:t>
            </w:r>
            <w:r w:rsidRPr="00C33A91">
              <w:rPr>
                <w:b/>
                <w:sz w:val="20"/>
              </w:rPr>
              <w:t xml:space="preserve"> Tons/Year</w:t>
            </w:r>
          </w:p>
        </w:tc>
        <w:tc>
          <w:tcPr>
            <w:tcW w:w="2160"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rsidR="009E1C17" w:rsidRPr="00C33A91" w:rsidRDefault="009E1C17" w:rsidP="004C4B7C">
            <w:pPr>
              <w:pStyle w:val="BodyText"/>
              <w:widowControl w:val="0"/>
              <w:jc w:val="center"/>
              <w:rPr>
                <w:b/>
                <w:sz w:val="20"/>
              </w:rPr>
            </w:pPr>
            <w:r w:rsidRPr="00C33A91">
              <w:rPr>
                <w:b/>
                <w:sz w:val="20"/>
              </w:rPr>
              <w:t>SO</w:t>
            </w:r>
            <w:r w:rsidRPr="00C33A91">
              <w:rPr>
                <w:b/>
                <w:sz w:val="20"/>
                <w:vertAlign w:val="subscript"/>
              </w:rPr>
              <w:t>2</w:t>
            </w:r>
            <w:r>
              <w:rPr>
                <w:b/>
                <w:sz w:val="20"/>
              </w:rPr>
              <w:t xml:space="preserve"> lb/ton</w:t>
            </w:r>
            <w:r>
              <w:rPr>
                <w:b/>
                <w:sz w:val="20"/>
              </w:rPr>
              <w:br/>
              <w:t>(Limit – 0.17</w:t>
            </w:r>
            <w:r w:rsidRPr="00C33A91">
              <w:rPr>
                <w:b/>
                <w:sz w:val="20"/>
              </w:rPr>
              <w:t xml:space="preserve"> lb/ton)</w:t>
            </w:r>
          </w:p>
        </w:tc>
        <w:tc>
          <w:tcPr>
            <w:tcW w:w="1620"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rsidR="009E1C17" w:rsidRPr="00C33A91" w:rsidRDefault="009E1C17" w:rsidP="004C4B7C">
            <w:pPr>
              <w:pStyle w:val="BodyText"/>
              <w:widowControl w:val="0"/>
              <w:jc w:val="center"/>
              <w:rPr>
                <w:b/>
                <w:sz w:val="20"/>
              </w:rPr>
            </w:pPr>
            <w:r w:rsidRPr="00C33A91">
              <w:rPr>
                <w:b/>
                <w:sz w:val="20"/>
              </w:rPr>
              <w:t>% of Allowable</w:t>
            </w:r>
          </w:p>
        </w:tc>
      </w:tr>
      <w:tr w:rsidR="009C4119" w:rsidRPr="009C4119" w:rsidTr="00B23367">
        <w:trPr>
          <w:jc w:val="center"/>
        </w:trPr>
        <w:tc>
          <w:tcPr>
            <w:tcW w:w="1155" w:type="dxa"/>
            <w:tcBorders>
              <w:top w:val="single" w:sz="12"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2001</w:t>
            </w:r>
          </w:p>
        </w:tc>
        <w:tc>
          <w:tcPr>
            <w:tcW w:w="1800" w:type="dxa"/>
            <w:tcBorders>
              <w:top w:val="single" w:sz="12" w:space="0" w:color="auto"/>
              <w:left w:val="single" w:sz="12"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5.65</w:t>
            </w:r>
          </w:p>
        </w:tc>
        <w:tc>
          <w:tcPr>
            <w:tcW w:w="2160" w:type="dxa"/>
            <w:tcBorders>
              <w:top w:val="single" w:sz="12" w:space="0" w:color="auto"/>
              <w:left w:val="single" w:sz="12"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0.014</w:t>
            </w:r>
          </w:p>
        </w:tc>
        <w:tc>
          <w:tcPr>
            <w:tcW w:w="1620" w:type="dxa"/>
            <w:tcBorders>
              <w:top w:val="single" w:sz="12" w:space="0" w:color="auto"/>
              <w:left w:val="single" w:sz="12" w:space="0" w:color="auto"/>
              <w:bottom w:val="single" w:sz="8" w:space="0" w:color="auto"/>
              <w:right w:val="single" w:sz="12" w:space="0" w:color="auto"/>
            </w:tcBorders>
            <w:vAlign w:val="center"/>
          </w:tcPr>
          <w:p w:rsidR="009C4119" w:rsidRPr="009C4119" w:rsidRDefault="00A536A5" w:rsidP="004C4B7C">
            <w:pPr>
              <w:pStyle w:val="BodyText"/>
              <w:widowControl w:val="0"/>
              <w:jc w:val="center"/>
              <w:rPr>
                <w:sz w:val="20"/>
              </w:rPr>
            </w:pPr>
            <w:r>
              <w:rPr>
                <w:sz w:val="20"/>
              </w:rPr>
              <w:t>8.2</w:t>
            </w:r>
          </w:p>
        </w:tc>
      </w:tr>
      <w:tr w:rsidR="009C4119" w:rsidRPr="009C4119" w:rsidTr="00B23367">
        <w:trPr>
          <w:jc w:val="center"/>
        </w:trPr>
        <w:tc>
          <w:tcPr>
            <w:tcW w:w="1155" w:type="dxa"/>
            <w:tcBorders>
              <w:top w:val="single" w:sz="8"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2002</w:t>
            </w:r>
          </w:p>
        </w:tc>
        <w:tc>
          <w:tcPr>
            <w:tcW w:w="1800" w:type="dxa"/>
            <w:tcBorders>
              <w:top w:val="single" w:sz="8" w:space="0" w:color="auto"/>
              <w:left w:val="single" w:sz="12"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6.22</w:t>
            </w:r>
          </w:p>
        </w:tc>
        <w:tc>
          <w:tcPr>
            <w:tcW w:w="2160" w:type="dxa"/>
            <w:tcBorders>
              <w:top w:val="single" w:sz="8" w:space="0" w:color="auto"/>
              <w:left w:val="single" w:sz="12"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0.016</w:t>
            </w:r>
          </w:p>
        </w:tc>
        <w:tc>
          <w:tcPr>
            <w:tcW w:w="1620" w:type="dxa"/>
            <w:tcBorders>
              <w:top w:val="single" w:sz="8" w:space="0" w:color="auto"/>
              <w:left w:val="single" w:sz="12" w:space="0" w:color="auto"/>
              <w:bottom w:val="single" w:sz="8" w:space="0" w:color="auto"/>
              <w:right w:val="single" w:sz="12" w:space="0" w:color="auto"/>
            </w:tcBorders>
            <w:vAlign w:val="center"/>
          </w:tcPr>
          <w:p w:rsidR="009C4119" w:rsidRPr="009C4119" w:rsidRDefault="00A536A5" w:rsidP="004C4B7C">
            <w:pPr>
              <w:pStyle w:val="BodyText"/>
              <w:widowControl w:val="0"/>
              <w:jc w:val="center"/>
              <w:rPr>
                <w:sz w:val="20"/>
              </w:rPr>
            </w:pPr>
            <w:r>
              <w:rPr>
                <w:sz w:val="20"/>
              </w:rPr>
              <w:t>9.4</w:t>
            </w:r>
          </w:p>
        </w:tc>
      </w:tr>
      <w:tr w:rsidR="009C4119" w:rsidRPr="009C4119" w:rsidTr="00B23367">
        <w:trPr>
          <w:jc w:val="center"/>
        </w:trPr>
        <w:tc>
          <w:tcPr>
            <w:tcW w:w="1155" w:type="dxa"/>
            <w:tcBorders>
              <w:top w:val="single" w:sz="8"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2003</w:t>
            </w:r>
          </w:p>
        </w:tc>
        <w:tc>
          <w:tcPr>
            <w:tcW w:w="1800" w:type="dxa"/>
            <w:tcBorders>
              <w:top w:val="single" w:sz="8" w:space="0" w:color="auto"/>
              <w:left w:val="single" w:sz="12"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15.29</w:t>
            </w:r>
          </w:p>
        </w:tc>
        <w:tc>
          <w:tcPr>
            <w:tcW w:w="2160" w:type="dxa"/>
            <w:tcBorders>
              <w:top w:val="single" w:sz="8" w:space="0" w:color="auto"/>
              <w:left w:val="single" w:sz="12"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0.038</w:t>
            </w:r>
          </w:p>
        </w:tc>
        <w:tc>
          <w:tcPr>
            <w:tcW w:w="1620" w:type="dxa"/>
            <w:tcBorders>
              <w:top w:val="single" w:sz="8" w:space="0" w:color="auto"/>
              <w:left w:val="single" w:sz="12" w:space="0" w:color="auto"/>
              <w:bottom w:val="single" w:sz="8" w:space="0" w:color="auto"/>
              <w:right w:val="single" w:sz="12" w:space="0" w:color="auto"/>
            </w:tcBorders>
            <w:vAlign w:val="center"/>
          </w:tcPr>
          <w:p w:rsidR="009C4119" w:rsidRPr="009C4119" w:rsidRDefault="00A536A5" w:rsidP="004C4B7C">
            <w:pPr>
              <w:pStyle w:val="BodyText"/>
              <w:widowControl w:val="0"/>
              <w:jc w:val="center"/>
              <w:rPr>
                <w:sz w:val="20"/>
              </w:rPr>
            </w:pPr>
            <w:r>
              <w:rPr>
                <w:sz w:val="20"/>
              </w:rPr>
              <w:t>22.3</w:t>
            </w:r>
          </w:p>
        </w:tc>
      </w:tr>
      <w:tr w:rsidR="009C4119" w:rsidRPr="009C4119" w:rsidTr="00B23367">
        <w:trPr>
          <w:jc w:val="center"/>
        </w:trPr>
        <w:tc>
          <w:tcPr>
            <w:tcW w:w="1155" w:type="dxa"/>
            <w:tcBorders>
              <w:top w:val="single" w:sz="8"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2004</w:t>
            </w:r>
          </w:p>
        </w:tc>
        <w:tc>
          <w:tcPr>
            <w:tcW w:w="1800" w:type="dxa"/>
            <w:tcBorders>
              <w:top w:val="single" w:sz="8" w:space="0" w:color="auto"/>
              <w:left w:val="single" w:sz="12"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0.44</w:t>
            </w:r>
          </w:p>
        </w:tc>
        <w:tc>
          <w:tcPr>
            <w:tcW w:w="2160" w:type="dxa"/>
            <w:tcBorders>
              <w:top w:val="single" w:sz="8" w:space="0" w:color="auto"/>
              <w:left w:val="single" w:sz="12" w:space="0" w:color="auto"/>
              <w:bottom w:val="single" w:sz="8" w:space="0" w:color="auto"/>
              <w:right w:val="single" w:sz="12" w:space="0" w:color="auto"/>
            </w:tcBorders>
            <w:vAlign w:val="center"/>
          </w:tcPr>
          <w:p w:rsidR="009C4119" w:rsidRPr="009C4119" w:rsidRDefault="009C4119" w:rsidP="004C4B7C">
            <w:pPr>
              <w:pStyle w:val="BodyText"/>
              <w:widowControl w:val="0"/>
              <w:jc w:val="center"/>
              <w:rPr>
                <w:sz w:val="20"/>
              </w:rPr>
            </w:pPr>
            <w:r>
              <w:rPr>
                <w:sz w:val="20"/>
              </w:rPr>
              <w:t>0.001</w:t>
            </w:r>
          </w:p>
        </w:tc>
        <w:tc>
          <w:tcPr>
            <w:tcW w:w="1620" w:type="dxa"/>
            <w:tcBorders>
              <w:top w:val="single" w:sz="8" w:space="0" w:color="auto"/>
              <w:left w:val="single" w:sz="12" w:space="0" w:color="auto"/>
              <w:bottom w:val="single" w:sz="8" w:space="0" w:color="auto"/>
              <w:right w:val="single" w:sz="12" w:space="0" w:color="auto"/>
            </w:tcBorders>
            <w:vAlign w:val="center"/>
          </w:tcPr>
          <w:p w:rsidR="009C4119" w:rsidRPr="009C4119" w:rsidRDefault="00A536A5" w:rsidP="004C4B7C">
            <w:pPr>
              <w:pStyle w:val="BodyText"/>
              <w:widowControl w:val="0"/>
              <w:jc w:val="center"/>
              <w:rPr>
                <w:sz w:val="20"/>
              </w:rPr>
            </w:pPr>
            <w:r>
              <w:rPr>
                <w:sz w:val="20"/>
              </w:rPr>
              <w:t>0.5</w:t>
            </w:r>
          </w:p>
        </w:tc>
      </w:tr>
      <w:tr w:rsidR="009E1C17" w:rsidRPr="00C33A91" w:rsidTr="00B23367">
        <w:trPr>
          <w:jc w:val="center"/>
        </w:trPr>
        <w:tc>
          <w:tcPr>
            <w:tcW w:w="1155" w:type="dxa"/>
            <w:tcBorders>
              <w:top w:val="single" w:sz="8"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sz w:val="20"/>
              </w:rPr>
            </w:pPr>
            <w:r w:rsidRPr="00C33A91">
              <w:rPr>
                <w:sz w:val="20"/>
              </w:rPr>
              <w:t>2005</w:t>
            </w:r>
          </w:p>
        </w:tc>
        <w:tc>
          <w:tcPr>
            <w:tcW w:w="1800" w:type="dxa"/>
            <w:tcBorders>
              <w:top w:val="single" w:sz="8" w:space="0" w:color="auto"/>
              <w:left w:val="single" w:sz="12"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sz w:val="20"/>
              </w:rPr>
            </w:pPr>
            <w:r>
              <w:rPr>
                <w:sz w:val="20"/>
              </w:rPr>
              <w:t>9</w:t>
            </w:r>
          </w:p>
        </w:tc>
        <w:tc>
          <w:tcPr>
            <w:tcW w:w="2160" w:type="dxa"/>
            <w:tcBorders>
              <w:top w:val="single" w:sz="8" w:space="0" w:color="auto"/>
              <w:left w:val="single" w:sz="12" w:space="0" w:color="auto"/>
              <w:bottom w:val="single" w:sz="6" w:space="0" w:color="auto"/>
              <w:right w:val="single" w:sz="12" w:space="0" w:color="auto"/>
            </w:tcBorders>
            <w:vAlign w:val="center"/>
          </w:tcPr>
          <w:p w:rsidR="009E1C17" w:rsidRPr="00C33A91" w:rsidRDefault="0009648F" w:rsidP="004C4B7C">
            <w:pPr>
              <w:pStyle w:val="BodyText"/>
              <w:widowControl w:val="0"/>
              <w:jc w:val="center"/>
              <w:rPr>
                <w:sz w:val="20"/>
              </w:rPr>
            </w:pPr>
            <w:r>
              <w:rPr>
                <w:sz w:val="20"/>
              </w:rPr>
              <w:t>0.04</w:t>
            </w:r>
            <w:r w:rsidR="00F86FDC" w:rsidRPr="00F86FDC">
              <w:rPr>
                <w:b/>
                <w:sz w:val="20"/>
                <w:vertAlign w:val="superscript"/>
              </w:rPr>
              <w:t>*</w:t>
            </w:r>
          </w:p>
        </w:tc>
        <w:tc>
          <w:tcPr>
            <w:tcW w:w="1620" w:type="dxa"/>
            <w:tcBorders>
              <w:top w:val="single" w:sz="8" w:space="0" w:color="auto"/>
              <w:left w:val="single" w:sz="12" w:space="0" w:color="auto"/>
              <w:bottom w:val="single" w:sz="6" w:space="0" w:color="auto"/>
              <w:right w:val="single" w:sz="12" w:space="0" w:color="auto"/>
            </w:tcBorders>
            <w:vAlign w:val="center"/>
          </w:tcPr>
          <w:p w:rsidR="009E1C17" w:rsidRPr="00C33A91" w:rsidRDefault="0009648F" w:rsidP="004C4B7C">
            <w:pPr>
              <w:pStyle w:val="BodyText"/>
              <w:widowControl w:val="0"/>
              <w:jc w:val="center"/>
              <w:rPr>
                <w:sz w:val="20"/>
              </w:rPr>
            </w:pPr>
            <w:r>
              <w:rPr>
                <w:sz w:val="20"/>
              </w:rPr>
              <w:t>23.5</w:t>
            </w:r>
          </w:p>
        </w:tc>
      </w:tr>
      <w:tr w:rsidR="009E1C17" w:rsidRPr="00C33A91" w:rsidTr="00B23367">
        <w:trPr>
          <w:jc w:val="center"/>
        </w:trPr>
        <w:tc>
          <w:tcPr>
            <w:tcW w:w="1155" w:type="dxa"/>
            <w:tcBorders>
              <w:top w:val="single" w:sz="6"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sz w:val="20"/>
              </w:rPr>
            </w:pPr>
            <w:r w:rsidRPr="00C33A91">
              <w:rPr>
                <w:sz w:val="20"/>
              </w:rPr>
              <w:t>2006</w:t>
            </w:r>
          </w:p>
        </w:tc>
        <w:tc>
          <w:tcPr>
            <w:tcW w:w="1800" w:type="dxa"/>
            <w:tcBorders>
              <w:top w:val="single" w:sz="6" w:space="0" w:color="auto"/>
              <w:left w:val="single" w:sz="12"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sz w:val="20"/>
              </w:rPr>
            </w:pPr>
            <w:r>
              <w:rPr>
                <w:sz w:val="20"/>
              </w:rPr>
              <w:t>2</w:t>
            </w:r>
          </w:p>
        </w:tc>
        <w:tc>
          <w:tcPr>
            <w:tcW w:w="2160" w:type="dxa"/>
            <w:tcBorders>
              <w:top w:val="single" w:sz="6" w:space="0" w:color="auto"/>
              <w:left w:val="single" w:sz="12" w:space="0" w:color="auto"/>
              <w:bottom w:val="single" w:sz="6" w:space="0" w:color="auto"/>
              <w:right w:val="single" w:sz="12" w:space="0" w:color="auto"/>
            </w:tcBorders>
            <w:vAlign w:val="center"/>
          </w:tcPr>
          <w:p w:rsidR="009E1C17" w:rsidRPr="00C33A91" w:rsidRDefault="0009648F" w:rsidP="004C4B7C">
            <w:pPr>
              <w:pStyle w:val="BodyText"/>
              <w:widowControl w:val="0"/>
              <w:jc w:val="center"/>
              <w:rPr>
                <w:sz w:val="20"/>
              </w:rPr>
            </w:pPr>
            <w:r>
              <w:rPr>
                <w:sz w:val="20"/>
              </w:rPr>
              <w:t>0.01</w:t>
            </w:r>
            <w:r w:rsidR="00F86FDC" w:rsidRPr="00F86FDC">
              <w:rPr>
                <w:b/>
                <w:sz w:val="20"/>
                <w:vertAlign w:val="superscript"/>
              </w:rPr>
              <w:t>*</w:t>
            </w:r>
          </w:p>
        </w:tc>
        <w:tc>
          <w:tcPr>
            <w:tcW w:w="1620" w:type="dxa"/>
            <w:tcBorders>
              <w:top w:val="single" w:sz="6" w:space="0" w:color="auto"/>
              <w:left w:val="single" w:sz="12" w:space="0" w:color="auto"/>
              <w:bottom w:val="single" w:sz="6" w:space="0" w:color="auto"/>
              <w:right w:val="single" w:sz="12" w:space="0" w:color="auto"/>
            </w:tcBorders>
            <w:vAlign w:val="center"/>
          </w:tcPr>
          <w:p w:rsidR="009E1C17" w:rsidRPr="00C33A91" w:rsidRDefault="0009648F" w:rsidP="004C4B7C">
            <w:pPr>
              <w:pStyle w:val="BodyText"/>
              <w:widowControl w:val="0"/>
              <w:jc w:val="center"/>
              <w:rPr>
                <w:sz w:val="20"/>
              </w:rPr>
            </w:pPr>
            <w:r>
              <w:rPr>
                <w:sz w:val="20"/>
              </w:rPr>
              <w:t>5.9</w:t>
            </w:r>
          </w:p>
        </w:tc>
      </w:tr>
      <w:tr w:rsidR="009E1C17" w:rsidRPr="00C33A91" w:rsidTr="00B23367">
        <w:trPr>
          <w:jc w:val="center"/>
        </w:trPr>
        <w:tc>
          <w:tcPr>
            <w:tcW w:w="1155" w:type="dxa"/>
            <w:tcBorders>
              <w:top w:val="single" w:sz="6"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sz w:val="20"/>
              </w:rPr>
            </w:pPr>
            <w:r w:rsidRPr="00C33A91">
              <w:rPr>
                <w:sz w:val="20"/>
              </w:rPr>
              <w:t>2007</w:t>
            </w:r>
          </w:p>
        </w:tc>
        <w:tc>
          <w:tcPr>
            <w:tcW w:w="1800" w:type="dxa"/>
            <w:tcBorders>
              <w:top w:val="single" w:sz="6" w:space="0" w:color="auto"/>
              <w:left w:val="single" w:sz="12"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sz w:val="20"/>
              </w:rPr>
            </w:pPr>
            <w:r>
              <w:rPr>
                <w:sz w:val="20"/>
              </w:rPr>
              <w:t>5</w:t>
            </w:r>
          </w:p>
        </w:tc>
        <w:tc>
          <w:tcPr>
            <w:tcW w:w="2160" w:type="dxa"/>
            <w:tcBorders>
              <w:top w:val="single" w:sz="6" w:space="0" w:color="auto"/>
              <w:left w:val="single" w:sz="12"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sz w:val="20"/>
              </w:rPr>
            </w:pPr>
            <w:r>
              <w:rPr>
                <w:sz w:val="20"/>
              </w:rPr>
              <w:t>0.02</w:t>
            </w:r>
            <w:r w:rsidR="00F86FDC" w:rsidRPr="00F86FDC">
              <w:rPr>
                <w:b/>
                <w:sz w:val="20"/>
                <w:vertAlign w:val="superscript"/>
              </w:rPr>
              <w:t>*</w:t>
            </w:r>
          </w:p>
        </w:tc>
        <w:tc>
          <w:tcPr>
            <w:tcW w:w="1620" w:type="dxa"/>
            <w:tcBorders>
              <w:top w:val="single" w:sz="6" w:space="0" w:color="auto"/>
              <w:left w:val="single" w:sz="12" w:space="0" w:color="auto"/>
              <w:bottom w:val="single" w:sz="6" w:space="0" w:color="auto"/>
              <w:right w:val="single" w:sz="12" w:space="0" w:color="auto"/>
            </w:tcBorders>
            <w:vAlign w:val="center"/>
          </w:tcPr>
          <w:p w:rsidR="009E1C17" w:rsidRPr="00C33A91" w:rsidRDefault="0009648F" w:rsidP="004C4B7C">
            <w:pPr>
              <w:pStyle w:val="BodyText"/>
              <w:widowControl w:val="0"/>
              <w:jc w:val="center"/>
              <w:rPr>
                <w:sz w:val="20"/>
              </w:rPr>
            </w:pPr>
            <w:r>
              <w:rPr>
                <w:sz w:val="20"/>
              </w:rPr>
              <w:t>11.7</w:t>
            </w:r>
          </w:p>
        </w:tc>
      </w:tr>
      <w:tr w:rsidR="009E1C17" w:rsidRPr="00C33A91" w:rsidTr="00B23367">
        <w:trPr>
          <w:jc w:val="center"/>
        </w:trPr>
        <w:tc>
          <w:tcPr>
            <w:tcW w:w="1155" w:type="dxa"/>
            <w:tcBorders>
              <w:top w:val="single" w:sz="6"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sz w:val="20"/>
              </w:rPr>
            </w:pPr>
            <w:r w:rsidRPr="00C33A91">
              <w:rPr>
                <w:sz w:val="20"/>
              </w:rPr>
              <w:t>2008</w:t>
            </w:r>
          </w:p>
        </w:tc>
        <w:tc>
          <w:tcPr>
            <w:tcW w:w="1800" w:type="dxa"/>
            <w:tcBorders>
              <w:top w:val="single" w:sz="6" w:space="0" w:color="auto"/>
              <w:left w:val="single" w:sz="12"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sz w:val="20"/>
              </w:rPr>
            </w:pPr>
            <w:r>
              <w:rPr>
                <w:sz w:val="20"/>
              </w:rPr>
              <w:t>8</w:t>
            </w:r>
          </w:p>
        </w:tc>
        <w:tc>
          <w:tcPr>
            <w:tcW w:w="2160" w:type="dxa"/>
            <w:tcBorders>
              <w:top w:val="single" w:sz="6" w:space="0" w:color="auto"/>
              <w:left w:val="single" w:sz="12" w:space="0" w:color="auto"/>
              <w:bottom w:val="single" w:sz="6" w:space="0" w:color="auto"/>
              <w:right w:val="single" w:sz="12" w:space="0" w:color="auto"/>
            </w:tcBorders>
            <w:vAlign w:val="center"/>
          </w:tcPr>
          <w:p w:rsidR="009E1C17" w:rsidRPr="00C33A91" w:rsidRDefault="0009648F" w:rsidP="004C4B7C">
            <w:pPr>
              <w:pStyle w:val="BodyText"/>
              <w:widowControl w:val="0"/>
              <w:jc w:val="center"/>
              <w:rPr>
                <w:sz w:val="20"/>
              </w:rPr>
            </w:pPr>
            <w:r>
              <w:rPr>
                <w:sz w:val="20"/>
              </w:rPr>
              <w:t>0.03</w:t>
            </w:r>
            <w:r w:rsidR="00F86FDC" w:rsidRPr="00F86FDC">
              <w:rPr>
                <w:b/>
                <w:sz w:val="20"/>
                <w:vertAlign w:val="superscript"/>
              </w:rPr>
              <w:t>*</w:t>
            </w:r>
          </w:p>
        </w:tc>
        <w:tc>
          <w:tcPr>
            <w:tcW w:w="1620" w:type="dxa"/>
            <w:tcBorders>
              <w:top w:val="single" w:sz="6" w:space="0" w:color="auto"/>
              <w:left w:val="single" w:sz="12" w:space="0" w:color="auto"/>
              <w:bottom w:val="single" w:sz="6" w:space="0" w:color="auto"/>
              <w:right w:val="single" w:sz="12" w:space="0" w:color="auto"/>
            </w:tcBorders>
            <w:vAlign w:val="center"/>
          </w:tcPr>
          <w:p w:rsidR="009E1C17" w:rsidRPr="00C33A91" w:rsidRDefault="0009648F" w:rsidP="004C4B7C">
            <w:pPr>
              <w:pStyle w:val="BodyText"/>
              <w:widowControl w:val="0"/>
              <w:jc w:val="center"/>
              <w:rPr>
                <w:sz w:val="20"/>
              </w:rPr>
            </w:pPr>
            <w:r>
              <w:rPr>
                <w:sz w:val="20"/>
              </w:rPr>
              <w:t>17.6</w:t>
            </w:r>
          </w:p>
        </w:tc>
      </w:tr>
      <w:tr w:rsidR="009E1C17" w:rsidRPr="00C33A91" w:rsidTr="00B23367">
        <w:trPr>
          <w:jc w:val="center"/>
        </w:trPr>
        <w:tc>
          <w:tcPr>
            <w:tcW w:w="1155" w:type="dxa"/>
            <w:tcBorders>
              <w:top w:val="single" w:sz="6"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b/>
                <w:sz w:val="20"/>
              </w:rPr>
            </w:pPr>
            <w:r w:rsidRPr="00C33A91">
              <w:rPr>
                <w:b/>
                <w:sz w:val="20"/>
              </w:rPr>
              <w:t>Average</w:t>
            </w:r>
          </w:p>
        </w:tc>
        <w:tc>
          <w:tcPr>
            <w:tcW w:w="1800" w:type="dxa"/>
            <w:tcBorders>
              <w:top w:val="single" w:sz="6" w:space="0" w:color="auto"/>
              <w:left w:val="single" w:sz="12" w:space="0" w:color="auto"/>
              <w:bottom w:val="single" w:sz="6" w:space="0" w:color="auto"/>
              <w:right w:val="single" w:sz="12" w:space="0" w:color="auto"/>
            </w:tcBorders>
            <w:vAlign w:val="center"/>
          </w:tcPr>
          <w:p w:rsidR="009E1C17" w:rsidRPr="00C33A91" w:rsidRDefault="009E1C17" w:rsidP="004C4B7C">
            <w:pPr>
              <w:pStyle w:val="BodyText"/>
              <w:widowControl w:val="0"/>
              <w:jc w:val="center"/>
              <w:rPr>
                <w:b/>
                <w:sz w:val="20"/>
              </w:rPr>
            </w:pPr>
            <w:r>
              <w:rPr>
                <w:b/>
                <w:sz w:val="20"/>
              </w:rPr>
              <w:t>6</w:t>
            </w:r>
            <w:r w:rsidR="009C4119">
              <w:rPr>
                <w:b/>
                <w:sz w:val="20"/>
              </w:rPr>
              <w:t>.45</w:t>
            </w:r>
          </w:p>
        </w:tc>
        <w:tc>
          <w:tcPr>
            <w:tcW w:w="2160" w:type="dxa"/>
            <w:tcBorders>
              <w:top w:val="single" w:sz="6" w:space="0" w:color="auto"/>
              <w:left w:val="single" w:sz="12" w:space="0" w:color="auto"/>
              <w:bottom w:val="single" w:sz="6" w:space="0" w:color="auto"/>
              <w:right w:val="single" w:sz="12" w:space="0" w:color="auto"/>
            </w:tcBorders>
            <w:vAlign w:val="center"/>
          </w:tcPr>
          <w:p w:rsidR="009E1C17" w:rsidRPr="00C33A91" w:rsidRDefault="0009648F" w:rsidP="004C4B7C">
            <w:pPr>
              <w:pStyle w:val="BodyText"/>
              <w:widowControl w:val="0"/>
              <w:jc w:val="center"/>
              <w:rPr>
                <w:b/>
                <w:sz w:val="20"/>
              </w:rPr>
            </w:pPr>
            <w:r>
              <w:rPr>
                <w:b/>
                <w:sz w:val="20"/>
              </w:rPr>
              <w:t>0.02</w:t>
            </w:r>
            <w:r w:rsidR="00A536A5">
              <w:rPr>
                <w:b/>
                <w:sz w:val="20"/>
              </w:rPr>
              <w:t>1</w:t>
            </w:r>
          </w:p>
        </w:tc>
        <w:tc>
          <w:tcPr>
            <w:tcW w:w="1620" w:type="dxa"/>
            <w:tcBorders>
              <w:top w:val="single" w:sz="6" w:space="0" w:color="auto"/>
              <w:left w:val="single" w:sz="12" w:space="0" w:color="auto"/>
              <w:bottom w:val="single" w:sz="6" w:space="0" w:color="auto"/>
              <w:right w:val="single" w:sz="12" w:space="0" w:color="auto"/>
            </w:tcBorders>
            <w:vAlign w:val="center"/>
          </w:tcPr>
          <w:p w:rsidR="009E1C17" w:rsidRPr="00C33A91" w:rsidRDefault="0009648F" w:rsidP="004C4B7C">
            <w:pPr>
              <w:pStyle w:val="BodyText"/>
              <w:widowControl w:val="0"/>
              <w:jc w:val="center"/>
              <w:rPr>
                <w:b/>
                <w:sz w:val="20"/>
              </w:rPr>
            </w:pPr>
            <w:r>
              <w:rPr>
                <w:b/>
                <w:sz w:val="20"/>
              </w:rPr>
              <w:t>1</w:t>
            </w:r>
            <w:r w:rsidR="00A536A5">
              <w:rPr>
                <w:b/>
                <w:sz w:val="20"/>
              </w:rPr>
              <w:t>2.3</w:t>
            </w:r>
          </w:p>
        </w:tc>
      </w:tr>
      <w:tr w:rsidR="00F86FDC" w:rsidRPr="00C33A91" w:rsidTr="00B23367">
        <w:trPr>
          <w:jc w:val="center"/>
        </w:trPr>
        <w:tc>
          <w:tcPr>
            <w:tcW w:w="6735" w:type="dxa"/>
            <w:gridSpan w:val="4"/>
            <w:tcBorders>
              <w:top w:val="single" w:sz="6" w:space="0" w:color="auto"/>
              <w:bottom w:val="single" w:sz="12" w:space="0" w:color="auto"/>
              <w:right w:val="single" w:sz="12" w:space="0" w:color="auto"/>
            </w:tcBorders>
            <w:vAlign w:val="center"/>
          </w:tcPr>
          <w:p w:rsidR="00F86FDC" w:rsidRPr="00F86FDC" w:rsidRDefault="00F86FDC" w:rsidP="00F86FDC">
            <w:pPr>
              <w:pStyle w:val="BodyText"/>
              <w:widowControl w:val="0"/>
              <w:rPr>
                <w:sz w:val="20"/>
              </w:rPr>
            </w:pPr>
            <w:r w:rsidRPr="00F86FDC">
              <w:rPr>
                <w:b/>
                <w:sz w:val="20"/>
                <w:vertAlign w:val="superscript"/>
              </w:rPr>
              <w:t>*</w:t>
            </w:r>
            <w:r>
              <w:rPr>
                <w:sz w:val="20"/>
              </w:rPr>
              <w:t>Obtained from attachment “File A” of the respective annual operating reports.</w:t>
            </w:r>
          </w:p>
        </w:tc>
      </w:tr>
    </w:tbl>
    <w:p w:rsidR="00031B2F" w:rsidRDefault="00D032EF" w:rsidP="00A536A5">
      <w:pPr>
        <w:widowControl w:val="0"/>
        <w:autoSpaceDE w:val="0"/>
        <w:autoSpaceDN w:val="0"/>
        <w:adjustRightInd w:val="0"/>
        <w:spacing w:before="120" w:after="120"/>
        <w:rPr>
          <w:sz w:val="22"/>
          <w:szCs w:val="22"/>
        </w:rPr>
      </w:pPr>
      <w:r>
        <w:rPr>
          <w:sz w:val="22"/>
          <w:szCs w:val="22"/>
        </w:rPr>
        <w:t xml:space="preserve">It is clear from </w:t>
      </w:r>
      <w:r w:rsidRPr="00CB2561">
        <w:rPr>
          <w:b/>
          <w:sz w:val="22"/>
          <w:szCs w:val="22"/>
        </w:rPr>
        <w:fldChar w:fldCharType="begin"/>
      </w:r>
      <w:r w:rsidRPr="00CB2561">
        <w:rPr>
          <w:b/>
          <w:sz w:val="22"/>
          <w:szCs w:val="22"/>
        </w:rPr>
        <w:instrText xml:space="preserve"> REF _Ref525551766 \h  \* MERGEFORMAT </w:instrText>
      </w:r>
      <w:r w:rsidRPr="00CB2561">
        <w:rPr>
          <w:b/>
          <w:sz w:val="22"/>
          <w:szCs w:val="22"/>
        </w:rPr>
      </w:r>
      <w:r w:rsidRPr="00CB2561">
        <w:rPr>
          <w:b/>
          <w:sz w:val="22"/>
          <w:szCs w:val="22"/>
        </w:rPr>
        <w:fldChar w:fldCharType="separate"/>
      </w:r>
      <w:r w:rsidRPr="00CB2561">
        <w:rPr>
          <w:b/>
          <w:sz w:val="22"/>
        </w:rPr>
        <w:t xml:space="preserve">Table </w:t>
      </w:r>
      <w:r w:rsidRPr="00CB2561">
        <w:rPr>
          <w:b/>
          <w:noProof/>
          <w:sz w:val="22"/>
        </w:rPr>
        <w:t>1</w:t>
      </w:r>
      <w:r w:rsidRPr="00CB2561">
        <w:rPr>
          <w:b/>
          <w:sz w:val="22"/>
          <w:szCs w:val="22"/>
        </w:rPr>
        <w:fldChar w:fldCharType="end"/>
      </w:r>
      <w:r>
        <w:rPr>
          <w:sz w:val="22"/>
          <w:szCs w:val="22"/>
        </w:rPr>
        <w:t xml:space="preserve">. that </w:t>
      </w:r>
      <w:r w:rsidRPr="00D032EF">
        <w:rPr>
          <w:sz w:val="22"/>
          <w:szCs w:val="22"/>
        </w:rPr>
        <w:t>SO</w:t>
      </w:r>
      <w:r w:rsidRPr="00D032EF">
        <w:rPr>
          <w:sz w:val="22"/>
          <w:szCs w:val="22"/>
          <w:vertAlign w:val="subscript"/>
        </w:rPr>
        <w:t>2</w:t>
      </w:r>
      <w:r w:rsidR="00BB37CE">
        <w:rPr>
          <w:sz w:val="22"/>
          <w:szCs w:val="22"/>
        </w:rPr>
        <w:t xml:space="preserve"> emissions from Kiln 1 have been low, averaging about 12.3% of the permit limit.  </w:t>
      </w:r>
      <w:r w:rsidR="00BB37CE" w:rsidRPr="00BB37CE">
        <w:rPr>
          <w:sz w:val="22"/>
          <w:szCs w:val="22"/>
        </w:rPr>
        <w:t>The low emissions are a result of very low pyritic and organic sulfur contents o</w:t>
      </w:r>
      <w:r w:rsidR="00BB37CE">
        <w:rPr>
          <w:sz w:val="22"/>
          <w:szCs w:val="22"/>
        </w:rPr>
        <w:t>f the raw materials mined</w:t>
      </w:r>
      <w:r w:rsidR="00BB37CE" w:rsidRPr="00BB37CE">
        <w:rPr>
          <w:sz w:val="22"/>
          <w:szCs w:val="22"/>
        </w:rPr>
        <w:t>, low sulfur contents of other raw materials imported for use in clinker production, and the fact that fuel sulfur plays an insignificant role in SO</w:t>
      </w:r>
      <w:r w:rsidR="00BB37CE" w:rsidRPr="00BB37CE">
        <w:rPr>
          <w:sz w:val="22"/>
          <w:szCs w:val="22"/>
          <w:vertAlign w:val="subscript"/>
        </w:rPr>
        <w:t>2</w:t>
      </w:r>
      <w:r w:rsidR="00BB37CE" w:rsidRPr="00BB37CE">
        <w:rPr>
          <w:sz w:val="22"/>
          <w:szCs w:val="22"/>
        </w:rPr>
        <w:t xml:space="preserve"> emissions from modern dry process Portland cement plants (the inherent scrubbing effect of the cement production).</w:t>
      </w:r>
    </w:p>
    <w:p w:rsidR="00031B2F" w:rsidRPr="002469D8" w:rsidRDefault="002469D8" w:rsidP="00B23367">
      <w:pPr>
        <w:pStyle w:val="ListParagraph"/>
        <w:numPr>
          <w:ilvl w:val="2"/>
          <w:numId w:val="6"/>
        </w:numPr>
        <w:spacing w:after="120"/>
        <w:ind w:left="720" w:hanging="720"/>
        <w:contextualSpacing w:val="0"/>
        <w:rPr>
          <w:b/>
          <w:sz w:val="22"/>
          <w:szCs w:val="22"/>
        </w:rPr>
      </w:pPr>
      <w:r w:rsidRPr="002469D8">
        <w:rPr>
          <w:b/>
          <w:sz w:val="22"/>
          <w:szCs w:val="22"/>
        </w:rPr>
        <w:t>Conclusion</w:t>
      </w:r>
    </w:p>
    <w:p w:rsidR="002469D8" w:rsidRDefault="002469D8" w:rsidP="00B960D9">
      <w:pPr>
        <w:widowControl w:val="0"/>
        <w:autoSpaceDE w:val="0"/>
        <w:autoSpaceDN w:val="0"/>
        <w:adjustRightInd w:val="0"/>
        <w:spacing w:after="120"/>
        <w:rPr>
          <w:sz w:val="22"/>
          <w:szCs w:val="22"/>
        </w:rPr>
      </w:pPr>
      <w:r>
        <w:rPr>
          <w:sz w:val="22"/>
          <w:szCs w:val="22"/>
        </w:rPr>
        <w:t xml:space="preserve">As stated previously, the requirement to continuously monitor </w:t>
      </w:r>
      <w:r w:rsidRPr="002469D8">
        <w:rPr>
          <w:sz w:val="22"/>
          <w:szCs w:val="22"/>
        </w:rPr>
        <w:t>SO</w:t>
      </w:r>
      <w:r w:rsidRPr="002469D8">
        <w:rPr>
          <w:sz w:val="22"/>
          <w:szCs w:val="22"/>
          <w:vertAlign w:val="subscript"/>
        </w:rPr>
        <w:t>2</w:t>
      </w:r>
      <w:r w:rsidRPr="002469D8">
        <w:rPr>
          <w:sz w:val="22"/>
          <w:szCs w:val="22"/>
        </w:rPr>
        <w:t xml:space="preserve"> emissions </w:t>
      </w:r>
      <w:r>
        <w:rPr>
          <w:sz w:val="22"/>
          <w:szCs w:val="22"/>
        </w:rPr>
        <w:t xml:space="preserve">originates in </w:t>
      </w:r>
      <w:r w:rsidRPr="002469D8">
        <w:rPr>
          <w:sz w:val="22"/>
          <w:szCs w:val="22"/>
        </w:rPr>
        <w:t>permit No. 0530010-030-AC, which was issued pursuant to Rule 62-296.340, F.A.C., which addresses the BART requirements</w:t>
      </w:r>
      <w:r>
        <w:rPr>
          <w:sz w:val="22"/>
          <w:szCs w:val="22"/>
        </w:rPr>
        <w:t xml:space="preserve">.  </w:t>
      </w:r>
      <w:r w:rsidR="00D25FA5">
        <w:rPr>
          <w:sz w:val="22"/>
          <w:szCs w:val="22"/>
        </w:rPr>
        <w:t>BART requirements contained in 40 CFR 51, subpart P, Protection of Visibility, adopted by reference and incorporated in Rule 62-204.800, F.A.C.  40 CFR 51.301 defines BART as:</w:t>
      </w:r>
    </w:p>
    <w:p w:rsidR="00D25FA5" w:rsidRDefault="00D25FA5" w:rsidP="00B960D9">
      <w:pPr>
        <w:widowControl w:val="0"/>
        <w:autoSpaceDE w:val="0"/>
        <w:autoSpaceDN w:val="0"/>
        <w:adjustRightInd w:val="0"/>
        <w:spacing w:after="120"/>
        <w:rPr>
          <w:sz w:val="22"/>
          <w:szCs w:val="22"/>
        </w:rPr>
      </w:pPr>
      <w:r w:rsidRPr="00D25FA5">
        <w:rPr>
          <w:i/>
          <w:iCs/>
          <w:sz w:val="22"/>
          <w:szCs w:val="22"/>
        </w:rPr>
        <w:t>Best Available Retrofit Technology (BART)</w:t>
      </w:r>
      <w:r w:rsidRPr="00D25FA5">
        <w:rPr>
          <w:sz w:val="22"/>
          <w:szCs w:val="22"/>
        </w:rPr>
        <w:t xml:space="preserve"> means an emission limitation based on the degree of reduction achievable through the application of the best system of continuous emission reduction for each pollutant which is emitted by an existing stationary facility. The emission limitation must be established, on a case-by-case basis, taking into consideration the technology available, the costs of compliance, the energy and </w:t>
      </w:r>
      <w:proofErr w:type="spellStart"/>
      <w:r w:rsidRPr="00D25FA5">
        <w:rPr>
          <w:sz w:val="22"/>
          <w:szCs w:val="22"/>
        </w:rPr>
        <w:t>nonair</w:t>
      </w:r>
      <w:proofErr w:type="spellEnd"/>
      <w:r w:rsidRPr="00D25FA5">
        <w:rPr>
          <w:sz w:val="22"/>
          <w:szCs w:val="22"/>
        </w:rPr>
        <w:t xml:space="preserve"> quality environmental impacts of compliance, any pollution control equipment in use or in existence at the source, the remaining useful life of the source, and the degree of improvement in visibility which may reasonably be anticipated to result from the use of such technology.</w:t>
      </w:r>
    </w:p>
    <w:p w:rsidR="00D25FA5" w:rsidRDefault="00D25FA5" w:rsidP="00B960D9">
      <w:pPr>
        <w:widowControl w:val="0"/>
        <w:autoSpaceDE w:val="0"/>
        <w:autoSpaceDN w:val="0"/>
        <w:adjustRightInd w:val="0"/>
        <w:spacing w:after="120"/>
        <w:rPr>
          <w:sz w:val="22"/>
          <w:szCs w:val="22"/>
        </w:rPr>
      </w:pPr>
      <w:r w:rsidRPr="00D25FA5">
        <w:rPr>
          <w:sz w:val="22"/>
          <w:szCs w:val="22"/>
        </w:rPr>
        <w:lastRenderedPageBreak/>
        <w:t xml:space="preserve">Based on historical data, </w:t>
      </w:r>
      <w:proofErr w:type="gramStart"/>
      <w:r w:rsidRPr="00D25FA5">
        <w:rPr>
          <w:sz w:val="22"/>
          <w:szCs w:val="22"/>
        </w:rPr>
        <w:t>it is clear that SO</w:t>
      </w:r>
      <w:r w:rsidRPr="00D25FA5">
        <w:rPr>
          <w:sz w:val="22"/>
          <w:szCs w:val="22"/>
          <w:vertAlign w:val="subscript"/>
        </w:rPr>
        <w:t>2</w:t>
      </w:r>
      <w:proofErr w:type="gramEnd"/>
      <w:r w:rsidRPr="00D25FA5">
        <w:rPr>
          <w:sz w:val="22"/>
          <w:szCs w:val="22"/>
        </w:rPr>
        <w:t xml:space="preserve"> emissions from </w:t>
      </w:r>
      <w:r>
        <w:rPr>
          <w:sz w:val="22"/>
          <w:szCs w:val="22"/>
        </w:rPr>
        <w:t>Kiln 1</w:t>
      </w:r>
      <w:r w:rsidRPr="00D25FA5">
        <w:rPr>
          <w:sz w:val="22"/>
          <w:szCs w:val="22"/>
        </w:rPr>
        <w:t xml:space="preserve"> are inherently low without the need for add-on control equipment or continuous monitoring of SO</w:t>
      </w:r>
      <w:r w:rsidRPr="00D25FA5">
        <w:rPr>
          <w:sz w:val="22"/>
          <w:szCs w:val="22"/>
          <w:vertAlign w:val="subscript"/>
        </w:rPr>
        <w:t>2</w:t>
      </w:r>
      <w:r w:rsidRPr="00D25FA5">
        <w:rPr>
          <w:sz w:val="22"/>
          <w:szCs w:val="22"/>
        </w:rPr>
        <w:t xml:space="preserve"> emissions.  The Department will remove the requirement for </w:t>
      </w:r>
      <w:r>
        <w:rPr>
          <w:sz w:val="22"/>
          <w:szCs w:val="22"/>
        </w:rPr>
        <w:t>Kiln 1</w:t>
      </w:r>
      <w:r w:rsidRPr="00D25FA5">
        <w:rPr>
          <w:sz w:val="22"/>
          <w:szCs w:val="22"/>
        </w:rPr>
        <w:t xml:space="preserve"> to continuously monitor emissions through CEMS to show compliance with the </w:t>
      </w:r>
      <w:r>
        <w:rPr>
          <w:sz w:val="22"/>
          <w:szCs w:val="22"/>
        </w:rPr>
        <w:t xml:space="preserve">BART determined </w:t>
      </w:r>
      <w:r w:rsidRPr="00D25FA5">
        <w:rPr>
          <w:sz w:val="22"/>
          <w:szCs w:val="22"/>
        </w:rPr>
        <w:t>SO</w:t>
      </w:r>
      <w:r w:rsidRPr="00D25FA5">
        <w:rPr>
          <w:sz w:val="22"/>
          <w:szCs w:val="22"/>
          <w:vertAlign w:val="subscript"/>
        </w:rPr>
        <w:t>2</w:t>
      </w:r>
      <w:r>
        <w:rPr>
          <w:sz w:val="22"/>
          <w:szCs w:val="22"/>
        </w:rPr>
        <w:t xml:space="preserve"> limit</w:t>
      </w:r>
      <w:r w:rsidRPr="00D25FA5">
        <w:rPr>
          <w:sz w:val="22"/>
          <w:szCs w:val="22"/>
        </w:rPr>
        <w:t>.  The facility will now be required to conduct EPA Method 6 or 6C performance test annually, to show compliance with the SO</w:t>
      </w:r>
      <w:r w:rsidRPr="00D25FA5">
        <w:rPr>
          <w:sz w:val="22"/>
          <w:szCs w:val="22"/>
          <w:vertAlign w:val="subscript"/>
        </w:rPr>
        <w:t>2</w:t>
      </w:r>
      <w:r>
        <w:rPr>
          <w:sz w:val="22"/>
          <w:szCs w:val="22"/>
        </w:rPr>
        <w:t xml:space="preserve"> limit</w:t>
      </w:r>
      <w:r w:rsidRPr="00D25FA5">
        <w:rPr>
          <w:sz w:val="22"/>
          <w:szCs w:val="22"/>
        </w:rPr>
        <w:t xml:space="preserve">.  Demonstrating compliance through annual tests will be more stringent since the annual tests will be based on a </w:t>
      </w:r>
      <w:r w:rsidR="00B23367" w:rsidRPr="00D25FA5">
        <w:rPr>
          <w:sz w:val="22"/>
          <w:szCs w:val="22"/>
        </w:rPr>
        <w:t>3-hour</w:t>
      </w:r>
      <w:r w:rsidRPr="00D25FA5">
        <w:rPr>
          <w:sz w:val="22"/>
          <w:szCs w:val="22"/>
        </w:rPr>
        <w:t xml:space="preserve"> block average, instead of 24 hour rolling average.</w:t>
      </w:r>
      <w:r>
        <w:rPr>
          <w:sz w:val="22"/>
          <w:szCs w:val="22"/>
        </w:rPr>
        <w:t xml:space="preserve">  This permit is not modifying the numerical </w:t>
      </w:r>
      <w:r w:rsidRPr="00D25FA5">
        <w:rPr>
          <w:i/>
          <w:sz w:val="22"/>
          <w:szCs w:val="22"/>
        </w:rPr>
        <w:t>emissions limitatio</w:t>
      </w:r>
      <w:r>
        <w:rPr>
          <w:i/>
          <w:sz w:val="22"/>
          <w:szCs w:val="22"/>
        </w:rPr>
        <w:t>n</w:t>
      </w:r>
      <w:r>
        <w:rPr>
          <w:sz w:val="22"/>
          <w:szCs w:val="22"/>
        </w:rPr>
        <w:t>; therefore, a State Implementation Plan (SIP) revision is not required to make this change.</w:t>
      </w:r>
      <w:r w:rsidR="008D2A08">
        <w:rPr>
          <w:sz w:val="22"/>
          <w:szCs w:val="22"/>
        </w:rPr>
        <w:t xml:space="preserve">  The removal of the requirement to monitor </w:t>
      </w:r>
      <w:r w:rsidR="008D2A08" w:rsidRPr="00D25FA5">
        <w:rPr>
          <w:sz w:val="22"/>
          <w:szCs w:val="22"/>
        </w:rPr>
        <w:t>SO</w:t>
      </w:r>
      <w:r w:rsidR="008D2A08" w:rsidRPr="00D25FA5">
        <w:rPr>
          <w:sz w:val="22"/>
          <w:szCs w:val="22"/>
          <w:vertAlign w:val="subscript"/>
        </w:rPr>
        <w:t>2</w:t>
      </w:r>
      <w:r w:rsidR="008D2A08" w:rsidRPr="00D25FA5">
        <w:rPr>
          <w:sz w:val="22"/>
          <w:szCs w:val="22"/>
        </w:rPr>
        <w:t xml:space="preserve"> emissions</w:t>
      </w:r>
      <w:r w:rsidR="008D2A08">
        <w:rPr>
          <w:sz w:val="22"/>
          <w:szCs w:val="22"/>
        </w:rPr>
        <w:t xml:space="preserve"> continuously through CEMS is not expected to have any increase in </w:t>
      </w:r>
      <w:r w:rsidR="008D2A08" w:rsidRPr="00D25FA5">
        <w:rPr>
          <w:sz w:val="22"/>
          <w:szCs w:val="22"/>
        </w:rPr>
        <w:t>SO</w:t>
      </w:r>
      <w:r w:rsidR="008D2A08" w:rsidRPr="00D25FA5">
        <w:rPr>
          <w:sz w:val="22"/>
          <w:szCs w:val="22"/>
          <w:vertAlign w:val="subscript"/>
        </w:rPr>
        <w:t>2</w:t>
      </w:r>
      <w:r w:rsidR="008D2A08" w:rsidRPr="00D25FA5">
        <w:rPr>
          <w:sz w:val="22"/>
          <w:szCs w:val="22"/>
        </w:rPr>
        <w:t xml:space="preserve"> emissions</w:t>
      </w:r>
      <w:r w:rsidR="008D2A08">
        <w:rPr>
          <w:sz w:val="22"/>
          <w:szCs w:val="22"/>
        </w:rPr>
        <w:t>.</w:t>
      </w:r>
    </w:p>
    <w:p w:rsidR="00031B2F" w:rsidRPr="00B23367" w:rsidRDefault="009832CB" w:rsidP="00B23367">
      <w:pPr>
        <w:pStyle w:val="ListParagraph"/>
        <w:numPr>
          <w:ilvl w:val="1"/>
          <w:numId w:val="6"/>
        </w:numPr>
        <w:spacing w:after="120"/>
        <w:ind w:left="720" w:hanging="702"/>
        <w:contextualSpacing w:val="0"/>
        <w:rPr>
          <w:b/>
          <w:caps/>
          <w:sz w:val="22"/>
          <w:szCs w:val="22"/>
        </w:rPr>
      </w:pPr>
      <w:r w:rsidRPr="009832CB">
        <w:rPr>
          <w:b/>
          <w:bCs/>
          <w:sz w:val="22"/>
          <w:szCs w:val="22"/>
        </w:rPr>
        <w:t>Remove Requirements Related to Monitoring Thallium</w:t>
      </w:r>
      <w:r w:rsidR="00202A2E">
        <w:rPr>
          <w:b/>
          <w:bCs/>
          <w:sz w:val="22"/>
          <w:szCs w:val="22"/>
        </w:rPr>
        <w:t xml:space="preserve"> for Kiln 1</w:t>
      </w:r>
    </w:p>
    <w:p w:rsidR="00031B2F" w:rsidRDefault="008403CF" w:rsidP="00B960D9">
      <w:pPr>
        <w:widowControl w:val="0"/>
        <w:autoSpaceDE w:val="0"/>
        <w:autoSpaceDN w:val="0"/>
        <w:adjustRightInd w:val="0"/>
        <w:spacing w:after="120"/>
        <w:rPr>
          <w:sz w:val="22"/>
          <w:szCs w:val="22"/>
        </w:rPr>
      </w:pPr>
      <w:r>
        <w:rPr>
          <w:sz w:val="22"/>
          <w:szCs w:val="22"/>
        </w:rPr>
        <w:t xml:space="preserve">The baghouse dust from </w:t>
      </w:r>
      <w:r w:rsidR="0046768B" w:rsidRPr="0046768B">
        <w:rPr>
          <w:sz w:val="22"/>
          <w:szCs w:val="22"/>
        </w:rPr>
        <w:t xml:space="preserve">Kiln No. 1 (EU 003) is required to </w:t>
      </w:r>
      <w:r>
        <w:rPr>
          <w:sz w:val="22"/>
          <w:szCs w:val="22"/>
        </w:rPr>
        <w:t>be monitored for Thallium(Tl).  This requirement originates in P</w:t>
      </w:r>
      <w:r w:rsidR="0046768B" w:rsidRPr="0046768B">
        <w:rPr>
          <w:sz w:val="22"/>
          <w:szCs w:val="22"/>
        </w:rPr>
        <w:t xml:space="preserve">ermit No. </w:t>
      </w:r>
      <w:r>
        <w:rPr>
          <w:sz w:val="22"/>
          <w:szCs w:val="22"/>
        </w:rPr>
        <w:t xml:space="preserve">AC27-240349, which authorized the use of tire derived fuel as fuel for Kiln 1.  </w:t>
      </w:r>
      <w:r w:rsidRPr="008403CF">
        <w:rPr>
          <w:sz w:val="22"/>
          <w:szCs w:val="22"/>
        </w:rPr>
        <w:t>The permit requires daily Tl sampling and recording and limits the Tl concentration in the dust to 1.5% (15,000 ppm).</w:t>
      </w:r>
      <w:r w:rsidR="00151452">
        <w:rPr>
          <w:sz w:val="22"/>
          <w:szCs w:val="22"/>
        </w:rPr>
        <w:t xml:space="preserve">  Through application No. 0530010-036-AC, CEMEX had requested that this Tl monitoring requirement be removed.  </w:t>
      </w:r>
      <w:r w:rsidR="007502FD">
        <w:rPr>
          <w:sz w:val="22"/>
          <w:szCs w:val="22"/>
        </w:rPr>
        <w:t>In the Technical Evaluation and Preliminary Determination</w:t>
      </w:r>
      <w:r w:rsidR="00436E6E">
        <w:rPr>
          <w:sz w:val="22"/>
          <w:szCs w:val="22"/>
        </w:rPr>
        <w:t xml:space="preserve"> (TEPD)</w:t>
      </w:r>
      <w:r w:rsidR="007502FD">
        <w:rPr>
          <w:sz w:val="22"/>
          <w:szCs w:val="22"/>
        </w:rPr>
        <w:t xml:space="preserve"> document of draft permit No. 0530010-036-AC, the Department stated that:</w:t>
      </w:r>
    </w:p>
    <w:p w:rsidR="003E3072" w:rsidRPr="003E3072" w:rsidRDefault="003E3072" w:rsidP="003E3072">
      <w:pPr>
        <w:widowControl w:val="0"/>
        <w:autoSpaceDE w:val="0"/>
        <w:autoSpaceDN w:val="0"/>
        <w:adjustRightInd w:val="0"/>
        <w:spacing w:after="120"/>
        <w:rPr>
          <w:i/>
          <w:sz w:val="22"/>
          <w:szCs w:val="22"/>
        </w:rPr>
      </w:pPr>
      <w:r w:rsidRPr="003E3072">
        <w:rPr>
          <w:i/>
          <w:sz w:val="22"/>
          <w:szCs w:val="22"/>
        </w:rPr>
        <w:t>Tl is not a regulated air pollutant. For example, it is not on the list of hazardous air pollutants (HAP) maintained by the EPA pursuant to 40 Code of Federal Regulations Part 63 (40CFR63). Accordingly, Tl was not addressed in the EPA cement industry maximum achievable control technology (MACT) development pursuant to 40</w:t>
      </w:r>
      <w:r w:rsidR="00B23367">
        <w:rPr>
          <w:i/>
          <w:sz w:val="22"/>
          <w:szCs w:val="22"/>
        </w:rPr>
        <w:t xml:space="preserve"> </w:t>
      </w:r>
      <w:r w:rsidRPr="003E3072">
        <w:rPr>
          <w:i/>
          <w:sz w:val="22"/>
          <w:szCs w:val="22"/>
        </w:rPr>
        <w:t>CFR</w:t>
      </w:r>
      <w:r w:rsidR="000B4406">
        <w:rPr>
          <w:i/>
          <w:sz w:val="22"/>
          <w:szCs w:val="22"/>
        </w:rPr>
        <w:t xml:space="preserve"> </w:t>
      </w:r>
      <w:r w:rsidRPr="003E3072">
        <w:rPr>
          <w:i/>
          <w:sz w:val="22"/>
          <w:szCs w:val="22"/>
        </w:rPr>
        <w:t xml:space="preserve">63, Subpart LLL-National Emission Standards for Hazardous Air Pollutants </w:t>
      </w:r>
      <w:proofErr w:type="gramStart"/>
      <w:r w:rsidRPr="003E3072">
        <w:rPr>
          <w:i/>
          <w:sz w:val="22"/>
          <w:szCs w:val="22"/>
        </w:rPr>
        <w:t>From</w:t>
      </w:r>
      <w:proofErr w:type="gramEnd"/>
      <w:r w:rsidRPr="003E3072">
        <w:rPr>
          <w:i/>
          <w:sz w:val="22"/>
          <w:szCs w:val="22"/>
        </w:rPr>
        <w:t xml:space="preserve"> the Portland Cement Manufacturing Industry. </w:t>
      </w:r>
    </w:p>
    <w:p w:rsidR="003E3072" w:rsidRPr="00436E6E" w:rsidRDefault="00436E6E" w:rsidP="00B960D9">
      <w:pPr>
        <w:widowControl w:val="0"/>
        <w:autoSpaceDE w:val="0"/>
        <w:autoSpaceDN w:val="0"/>
        <w:adjustRightInd w:val="0"/>
        <w:spacing w:after="120"/>
        <w:rPr>
          <w:sz w:val="22"/>
          <w:szCs w:val="22"/>
        </w:rPr>
      </w:pPr>
      <w:r>
        <w:rPr>
          <w:sz w:val="22"/>
          <w:szCs w:val="22"/>
        </w:rPr>
        <w:t>The TEPD, as part of the rationale not approving CEMEX’s request, stated:</w:t>
      </w:r>
    </w:p>
    <w:p w:rsidR="007502FD" w:rsidRPr="007502FD" w:rsidRDefault="007502FD" w:rsidP="00B960D9">
      <w:pPr>
        <w:widowControl w:val="0"/>
        <w:autoSpaceDE w:val="0"/>
        <w:autoSpaceDN w:val="0"/>
        <w:adjustRightInd w:val="0"/>
        <w:spacing w:after="120"/>
        <w:rPr>
          <w:i/>
          <w:sz w:val="22"/>
          <w:szCs w:val="22"/>
        </w:rPr>
      </w:pPr>
      <w:r w:rsidRPr="007502FD">
        <w:rPr>
          <w:i/>
          <w:sz w:val="22"/>
          <w:szCs w:val="22"/>
        </w:rPr>
        <w:t xml:space="preserve">The Department has requested the actual data but has not yet received it. </w:t>
      </w:r>
      <w:r>
        <w:rPr>
          <w:i/>
          <w:sz w:val="22"/>
          <w:szCs w:val="22"/>
        </w:rPr>
        <w:t xml:space="preserve"> </w:t>
      </w:r>
      <w:r w:rsidRPr="007502FD">
        <w:rPr>
          <w:i/>
          <w:sz w:val="22"/>
          <w:szCs w:val="22"/>
        </w:rPr>
        <w:t xml:space="preserve">Without the actual sampling data, the Department cannot conclude that elimination or even reduction of sampling is appropriate </w:t>
      </w:r>
      <w:proofErr w:type="gramStart"/>
      <w:r w:rsidRPr="007502FD">
        <w:rPr>
          <w:i/>
          <w:sz w:val="22"/>
          <w:szCs w:val="22"/>
        </w:rPr>
        <w:t>at this time</w:t>
      </w:r>
      <w:proofErr w:type="gramEnd"/>
      <w:r w:rsidRPr="007502FD">
        <w:rPr>
          <w:i/>
          <w:sz w:val="22"/>
          <w:szCs w:val="22"/>
        </w:rPr>
        <w:t>.</w:t>
      </w:r>
    </w:p>
    <w:p w:rsidR="007502FD" w:rsidRPr="0019313F" w:rsidRDefault="007502FD" w:rsidP="00B23367">
      <w:pPr>
        <w:widowControl w:val="0"/>
        <w:autoSpaceDE w:val="0"/>
        <w:autoSpaceDN w:val="0"/>
        <w:adjustRightInd w:val="0"/>
        <w:spacing w:after="60"/>
        <w:jc w:val="center"/>
        <w:rPr>
          <w:sz w:val="22"/>
          <w:szCs w:val="22"/>
        </w:rPr>
      </w:pPr>
      <w:r w:rsidRPr="007502FD">
        <w:rPr>
          <w:noProof/>
          <w:sz w:val="22"/>
          <w:szCs w:val="22"/>
        </w:rPr>
        <w:drawing>
          <wp:inline distT="0" distB="0" distL="0" distR="0">
            <wp:extent cx="4438650" cy="3439718"/>
            <wp:effectExtent l="19050" t="19050" r="19050" b="279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1846" cy="3442194"/>
                    </a:xfrm>
                    <a:prstGeom prst="rect">
                      <a:avLst/>
                    </a:prstGeom>
                    <a:noFill/>
                    <a:ln w="19050">
                      <a:solidFill>
                        <a:schemeClr val="tx1"/>
                      </a:solidFill>
                    </a:ln>
                  </pic:spPr>
                </pic:pic>
              </a:graphicData>
            </a:graphic>
          </wp:inline>
        </w:drawing>
      </w:r>
    </w:p>
    <w:p w:rsidR="007502FD" w:rsidRPr="0019313F" w:rsidRDefault="007502FD" w:rsidP="00B23367">
      <w:pPr>
        <w:widowControl w:val="0"/>
        <w:autoSpaceDE w:val="0"/>
        <w:autoSpaceDN w:val="0"/>
        <w:adjustRightInd w:val="0"/>
        <w:spacing w:after="120"/>
        <w:jc w:val="center"/>
        <w:rPr>
          <w:b/>
          <w:sz w:val="22"/>
          <w:szCs w:val="22"/>
        </w:rPr>
      </w:pPr>
      <w:bookmarkStart w:id="7" w:name="_Ref525554994"/>
      <w:r w:rsidRPr="0019313F">
        <w:rPr>
          <w:b/>
          <w:sz w:val="22"/>
          <w:szCs w:val="22"/>
        </w:rPr>
        <w:t xml:space="preserve">Figure </w:t>
      </w:r>
      <w:r w:rsidRPr="0019313F">
        <w:rPr>
          <w:b/>
          <w:sz w:val="22"/>
          <w:szCs w:val="22"/>
        </w:rPr>
        <w:fldChar w:fldCharType="begin"/>
      </w:r>
      <w:r w:rsidRPr="0019313F">
        <w:rPr>
          <w:b/>
          <w:sz w:val="22"/>
          <w:szCs w:val="22"/>
        </w:rPr>
        <w:instrText xml:space="preserve"> SEQ Figure \* ARABIC </w:instrText>
      </w:r>
      <w:r w:rsidRPr="0019313F">
        <w:rPr>
          <w:b/>
          <w:sz w:val="22"/>
          <w:szCs w:val="22"/>
        </w:rPr>
        <w:fldChar w:fldCharType="separate"/>
      </w:r>
      <w:r w:rsidRPr="0019313F">
        <w:rPr>
          <w:b/>
          <w:noProof/>
          <w:sz w:val="22"/>
          <w:szCs w:val="22"/>
        </w:rPr>
        <w:t>4</w:t>
      </w:r>
      <w:r w:rsidRPr="0019313F">
        <w:rPr>
          <w:b/>
          <w:sz w:val="22"/>
          <w:szCs w:val="22"/>
        </w:rPr>
        <w:fldChar w:fldCharType="end"/>
      </w:r>
      <w:bookmarkEnd w:id="7"/>
      <w:r w:rsidRPr="0019313F">
        <w:rPr>
          <w:b/>
          <w:sz w:val="22"/>
          <w:szCs w:val="22"/>
        </w:rPr>
        <w:t>.  Graphical Representation of Tl Monitoring in 2006 and 2007</w:t>
      </w:r>
      <w:r w:rsidR="00B23367">
        <w:rPr>
          <w:b/>
          <w:sz w:val="22"/>
          <w:szCs w:val="22"/>
        </w:rPr>
        <w:t>.</w:t>
      </w:r>
    </w:p>
    <w:p w:rsidR="00436E6E" w:rsidRPr="007502FD" w:rsidRDefault="00436E6E" w:rsidP="00436E6E">
      <w:pPr>
        <w:widowControl w:val="0"/>
        <w:autoSpaceDE w:val="0"/>
        <w:autoSpaceDN w:val="0"/>
        <w:adjustRightInd w:val="0"/>
        <w:spacing w:after="120"/>
        <w:rPr>
          <w:sz w:val="22"/>
          <w:szCs w:val="22"/>
        </w:rPr>
      </w:pPr>
      <w:r>
        <w:rPr>
          <w:sz w:val="22"/>
          <w:szCs w:val="22"/>
        </w:rPr>
        <w:lastRenderedPageBreak/>
        <w:t>When CEMEX requested the removal of Tl monitoring as part of application No. 0530010-048-AC, the Department requested actual data to be able to consider this request in its first Request for Additional Information (RAI).  In CEMEX’s response to the RAI, dated July 13, 2018</w:t>
      </w:r>
      <w:r w:rsidRPr="007502FD">
        <w:rPr>
          <w:sz w:val="22"/>
          <w:szCs w:val="22"/>
        </w:rPr>
        <w:t xml:space="preserve">, CEMEX provided Tl monitoring data for 2006-2007.  CEMEX also provided a graphic analysis of the data, as shown in </w:t>
      </w:r>
      <w:r w:rsidRPr="007502FD">
        <w:rPr>
          <w:b/>
          <w:sz w:val="22"/>
          <w:szCs w:val="22"/>
        </w:rPr>
        <w:fldChar w:fldCharType="begin"/>
      </w:r>
      <w:r w:rsidRPr="007502FD">
        <w:rPr>
          <w:b/>
          <w:sz w:val="22"/>
          <w:szCs w:val="22"/>
        </w:rPr>
        <w:instrText xml:space="preserve"> REF _Ref525554994 \h  \* MERGEFORMAT </w:instrText>
      </w:r>
      <w:r w:rsidRPr="007502FD">
        <w:rPr>
          <w:b/>
          <w:sz w:val="22"/>
          <w:szCs w:val="22"/>
        </w:rPr>
      </w:r>
      <w:r w:rsidRPr="007502FD">
        <w:rPr>
          <w:b/>
          <w:sz w:val="22"/>
          <w:szCs w:val="22"/>
        </w:rPr>
        <w:fldChar w:fldCharType="separate"/>
      </w:r>
      <w:r w:rsidRPr="007502FD">
        <w:rPr>
          <w:b/>
          <w:sz w:val="22"/>
        </w:rPr>
        <w:t xml:space="preserve">Figure </w:t>
      </w:r>
      <w:r w:rsidRPr="007502FD">
        <w:rPr>
          <w:b/>
          <w:noProof/>
          <w:sz w:val="22"/>
        </w:rPr>
        <w:t>4</w:t>
      </w:r>
      <w:r w:rsidRPr="007502FD">
        <w:rPr>
          <w:b/>
          <w:sz w:val="22"/>
          <w:szCs w:val="22"/>
        </w:rPr>
        <w:fldChar w:fldCharType="end"/>
      </w:r>
      <w:r w:rsidR="007317F1">
        <w:rPr>
          <w:sz w:val="22"/>
          <w:szCs w:val="22"/>
        </w:rPr>
        <w:t xml:space="preserve"> above</w:t>
      </w:r>
      <w:r w:rsidRPr="007502FD">
        <w:rPr>
          <w:sz w:val="22"/>
          <w:szCs w:val="22"/>
        </w:rPr>
        <w:t>.</w:t>
      </w:r>
      <w:r>
        <w:rPr>
          <w:sz w:val="22"/>
          <w:szCs w:val="22"/>
        </w:rPr>
        <w:t xml:space="preserve">  The data shows that for the two-year period, the daily concentration of Tl in the baghouse dust exceeded 1% only three times, and concentrations never exceeded 1.5%.  </w:t>
      </w:r>
    </w:p>
    <w:p w:rsidR="00031B2F" w:rsidRDefault="00436E6E" w:rsidP="00436E6E">
      <w:pPr>
        <w:widowControl w:val="0"/>
        <w:autoSpaceDE w:val="0"/>
        <w:autoSpaceDN w:val="0"/>
        <w:adjustRightInd w:val="0"/>
        <w:spacing w:after="120"/>
        <w:rPr>
          <w:sz w:val="22"/>
          <w:szCs w:val="22"/>
        </w:rPr>
      </w:pPr>
      <w:r>
        <w:rPr>
          <w:sz w:val="22"/>
          <w:szCs w:val="22"/>
        </w:rPr>
        <w:t xml:space="preserve">This provides reasonable assurance that the Tl levels </w:t>
      </w:r>
      <w:r w:rsidRPr="00436E6E">
        <w:rPr>
          <w:sz w:val="22"/>
          <w:szCs w:val="22"/>
        </w:rPr>
        <w:t>experienced in the mid-1990s no longer exist</w:t>
      </w:r>
      <w:r>
        <w:rPr>
          <w:sz w:val="22"/>
          <w:szCs w:val="22"/>
        </w:rPr>
        <w:t xml:space="preserve">.  The draft permit will remove the requirement for Kiln 1’s baghouse dust to be monitored for Tl </w:t>
      </w:r>
      <w:proofErr w:type="gramStart"/>
      <w:r>
        <w:rPr>
          <w:sz w:val="22"/>
          <w:szCs w:val="22"/>
        </w:rPr>
        <w:t>on a daily basis</w:t>
      </w:r>
      <w:proofErr w:type="gramEnd"/>
      <w:r>
        <w:rPr>
          <w:sz w:val="22"/>
          <w:szCs w:val="22"/>
        </w:rPr>
        <w:t xml:space="preserve">. </w:t>
      </w:r>
      <w:r w:rsidR="00100510">
        <w:rPr>
          <w:sz w:val="22"/>
          <w:szCs w:val="22"/>
        </w:rPr>
        <w:t xml:space="preserve"> This change is not expected to cause any increase in Tl emissions from Kiln 1.</w:t>
      </w:r>
    </w:p>
    <w:p w:rsidR="00031B2F" w:rsidRPr="0044794C" w:rsidRDefault="00202A2E" w:rsidP="0044794C">
      <w:pPr>
        <w:pStyle w:val="BodyText"/>
        <w:widowControl w:val="0"/>
        <w:numPr>
          <w:ilvl w:val="0"/>
          <w:numId w:val="12"/>
        </w:numPr>
        <w:ind w:left="540" w:hanging="540"/>
        <w:rPr>
          <w:b/>
          <w:iCs/>
          <w:sz w:val="22"/>
          <w:szCs w:val="22"/>
        </w:rPr>
      </w:pPr>
      <w:r>
        <w:rPr>
          <w:b/>
          <w:iCs/>
          <w:sz w:val="22"/>
          <w:szCs w:val="22"/>
        </w:rPr>
        <w:t>Replace Preheater Feed Limits on Kiln Nos 1 and 2 with Clinker Production Limits</w:t>
      </w:r>
    </w:p>
    <w:p w:rsidR="009832CB" w:rsidRPr="009344AB" w:rsidRDefault="006A2F9D" w:rsidP="00EA2DE9">
      <w:pPr>
        <w:widowControl w:val="0"/>
        <w:autoSpaceDE w:val="0"/>
        <w:autoSpaceDN w:val="0"/>
        <w:adjustRightInd w:val="0"/>
        <w:spacing w:after="120"/>
        <w:rPr>
          <w:iCs/>
          <w:sz w:val="22"/>
          <w:szCs w:val="22"/>
        </w:rPr>
      </w:pPr>
      <w:r w:rsidRPr="006A2F9D">
        <w:rPr>
          <w:iCs/>
          <w:sz w:val="22"/>
          <w:szCs w:val="22"/>
        </w:rPr>
        <w:t>CEMEX requests that the preheater feed rate limits on Kiln No. 1 (EU 003) and Kiln No. 2 (EU</w:t>
      </w:r>
      <w:r>
        <w:rPr>
          <w:iCs/>
          <w:sz w:val="22"/>
          <w:szCs w:val="22"/>
        </w:rPr>
        <w:t xml:space="preserve"> </w:t>
      </w:r>
      <w:r w:rsidRPr="006A2F9D">
        <w:rPr>
          <w:iCs/>
          <w:sz w:val="22"/>
          <w:szCs w:val="22"/>
        </w:rPr>
        <w:t xml:space="preserve">014) </w:t>
      </w:r>
      <w:r>
        <w:rPr>
          <w:iCs/>
          <w:sz w:val="22"/>
          <w:szCs w:val="22"/>
        </w:rPr>
        <w:t>of</w:t>
      </w:r>
      <w:r w:rsidRPr="006A2F9D">
        <w:rPr>
          <w:iCs/>
          <w:sz w:val="22"/>
          <w:szCs w:val="22"/>
        </w:rPr>
        <w:t xml:space="preserve"> 165 </w:t>
      </w:r>
      <w:r>
        <w:rPr>
          <w:iCs/>
          <w:sz w:val="22"/>
          <w:szCs w:val="22"/>
        </w:rPr>
        <w:t>tons/hour (</w:t>
      </w:r>
      <w:r w:rsidRPr="006A2F9D">
        <w:rPr>
          <w:iCs/>
          <w:sz w:val="22"/>
          <w:szCs w:val="22"/>
        </w:rPr>
        <w:t>TPH</w:t>
      </w:r>
      <w:r>
        <w:rPr>
          <w:iCs/>
          <w:sz w:val="22"/>
          <w:szCs w:val="22"/>
        </w:rPr>
        <w:t>) (1-hour maximum), 150 TPH (r</w:t>
      </w:r>
      <w:r w:rsidRPr="006A2F9D">
        <w:rPr>
          <w:iCs/>
          <w:sz w:val="22"/>
          <w:szCs w:val="22"/>
        </w:rPr>
        <w:t>olling 30-operating day average) and 1,300,000</w:t>
      </w:r>
      <w:r>
        <w:rPr>
          <w:iCs/>
          <w:sz w:val="22"/>
          <w:szCs w:val="22"/>
        </w:rPr>
        <w:t xml:space="preserve"> </w:t>
      </w:r>
      <w:r w:rsidRPr="006A2F9D">
        <w:rPr>
          <w:iCs/>
          <w:sz w:val="22"/>
          <w:szCs w:val="22"/>
        </w:rPr>
        <w:t xml:space="preserve">TPY (consecutive 12-month period) be removed and replaced </w:t>
      </w:r>
      <w:r>
        <w:rPr>
          <w:iCs/>
          <w:sz w:val="22"/>
          <w:szCs w:val="22"/>
        </w:rPr>
        <w:t xml:space="preserve">with the equivalent clinker production limits of </w:t>
      </w:r>
      <w:r w:rsidRPr="006A2F9D">
        <w:rPr>
          <w:iCs/>
          <w:sz w:val="22"/>
          <w:szCs w:val="22"/>
        </w:rPr>
        <w:t>100 TPH (1-hour maximum), 90 TPH (rolling 30-operating day average) and 780,000 TPY</w:t>
      </w:r>
      <w:r>
        <w:rPr>
          <w:iCs/>
          <w:sz w:val="22"/>
          <w:szCs w:val="22"/>
        </w:rPr>
        <w:t xml:space="preserve"> </w:t>
      </w:r>
      <w:r w:rsidRPr="006A2F9D">
        <w:rPr>
          <w:iCs/>
          <w:sz w:val="22"/>
          <w:szCs w:val="22"/>
        </w:rPr>
        <w:t>(consecutive 12-month period).</w:t>
      </w:r>
      <w:r w:rsidR="00EA2DE9">
        <w:rPr>
          <w:iCs/>
          <w:sz w:val="22"/>
          <w:szCs w:val="22"/>
        </w:rPr>
        <w:t xml:space="preserve">  The applicant states that this</w:t>
      </w:r>
      <w:r w:rsidR="00EA2DE9" w:rsidRPr="00EA2DE9">
        <w:rPr>
          <w:iCs/>
          <w:sz w:val="22"/>
          <w:szCs w:val="22"/>
        </w:rPr>
        <w:t xml:space="preserve"> request is for consistency with recordkeeping and reporting requirements used by other</w:t>
      </w:r>
      <w:r w:rsidR="00EA2DE9">
        <w:rPr>
          <w:iCs/>
          <w:sz w:val="22"/>
          <w:szCs w:val="22"/>
        </w:rPr>
        <w:t xml:space="preserve"> </w:t>
      </w:r>
      <w:r w:rsidR="00EA2DE9" w:rsidRPr="00EA2DE9">
        <w:rPr>
          <w:iCs/>
          <w:sz w:val="22"/>
          <w:szCs w:val="22"/>
        </w:rPr>
        <w:t>facilities and for reporting production in units consistent with the production-based emission</w:t>
      </w:r>
      <w:r w:rsidR="00EA2DE9">
        <w:rPr>
          <w:iCs/>
          <w:sz w:val="22"/>
          <w:szCs w:val="22"/>
        </w:rPr>
        <w:t xml:space="preserve"> </w:t>
      </w:r>
      <w:r w:rsidR="00EA2DE9" w:rsidRPr="00EA2DE9">
        <w:rPr>
          <w:iCs/>
          <w:sz w:val="22"/>
          <w:szCs w:val="22"/>
        </w:rPr>
        <w:t xml:space="preserve">limits of </w:t>
      </w:r>
      <w:r w:rsidR="000D7A44" w:rsidRPr="000D7A44">
        <w:rPr>
          <w:iCs/>
          <w:sz w:val="22"/>
          <w:szCs w:val="22"/>
        </w:rPr>
        <w:t>40 CFR 63, Subpart LLL, NESHAP from the Portland Cement Manufacturing Industry</w:t>
      </w:r>
      <w:r w:rsidR="000D7A44">
        <w:rPr>
          <w:iCs/>
          <w:sz w:val="22"/>
          <w:szCs w:val="22"/>
        </w:rPr>
        <w:t xml:space="preserve"> (Subpart LLL)</w:t>
      </w:r>
      <w:r w:rsidR="00EA2DE9">
        <w:rPr>
          <w:iCs/>
          <w:sz w:val="22"/>
          <w:szCs w:val="22"/>
        </w:rPr>
        <w:t>.</w:t>
      </w:r>
    </w:p>
    <w:p w:rsidR="009832CB" w:rsidRPr="009344AB" w:rsidRDefault="000B4406" w:rsidP="008A425D">
      <w:pPr>
        <w:widowControl w:val="0"/>
        <w:autoSpaceDE w:val="0"/>
        <w:autoSpaceDN w:val="0"/>
        <w:adjustRightInd w:val="0"/>
        <w:spacing w:after="120"/>
        <w:rPr>
          <w:iCs/>
          <w:sz w:val="22"/>
          <w:szCs w:val="22"/>
        </w:rPr>
      </w:pPr>
      <w:r>
        <w:rPr>
          <w:iCs/>
          <w:sz w:val="22"/>
          <w:szCs w:val="22"/>
        </w:rPr>
        <w:t xml:space="preserve">At the time of permitting of Kiln Nos 1 and 2, production at Portland Cement facilities was limited by limiting the amount of preheater feed.  </w:t>
      </w:r>
      <w:r w:rsidR="008A425D" w:rsidRPr="008A425D">
        <w:rPr>
          <w:iCs/>
          <w:sz w:val="22"/>
          <w:szCs w:val="22"/>
        </w:rPr>
        <w:t>The conversion of feed to clinker is based on the stoichiometric</w:t>
      </w:r>
      <w:r w:rsidR="008A425D">
        <w:rPr>
          <w:iCs/>
          <w:sz w:val="22"/>
          <w:szCs w:val="22"/>
        </w:rPr>
        <w:t xml:space="preserve"> ratio of 1.65 tons of feed per ton of clinker produced, and has been used in Equation 1 of Subpart LLL.</w:t>
      </w:r>
    </w:p>
    <w:p w:rsidR="009832CB" w:rsidRPr="009832CB" w:rsidRDefault="008A425D" w:rsidP="00B960D9">
      <w:pPr>
        <w:widowControl w:val="0"/>
        <w:autoSpaceDE w:val="0"/>
        <w:autoSpaceDN w:val="0"/>
        <w:adjustRightInd w:val="0"/>
        <w:spacing w:after="120"/>
        <w:rPr>
          <w:sz w:val="22"/>
          <w:szCs w:val="22"/>
        </w:rPr>
      </w:pPr>
      <w:r>
        <w:rPr>
          <w:sz w:val="22"/>
          <w:szCs w:val="22"/>
        </w:rPr>
        <w:t xml:space="preserve">Using the same stoichiometric conversion factor, the draft permit will replace </w:t>
      </w:r>
      <w:r w:rsidRPr="008A425D">
        <w:rPr>
          <w:iCs/>
          <w:sz w:val="22"/>
          <w:szCs w:val="22"/>
        </w:rPr>
        <w:t xml:space="preserve">the preheater feed rate limits on </w:t>
      </w:r>
      <w:r>
        <w:rPr>
          <w:iCs/>
          <w:sz w:val="22"/>
          <w:szCs w:val="22"/>
        </w:rPr>
        <w:t xml:space="preserve">Kiln Nos. 1and 2 </w:t>
      </w:r>
      <w:r w:rsidRPr="008A425D">
        <w:rPr>
          <w:iCs/>
          <w:sz w:val="22"/>
          <w:szCs w:val="22"/>
        </w:rPr>
        <w:t xml:space="preserve">of 165 </w:t>
      </w:r>
      <w:r>
        <w:rPr>
          <w:iCs/>
          <w:sz w:val="22"/>
          <w:szCs w:val="22"/>
        </w:rPr>
        <w:t>T</w:t>
      </w:r>
      <w:r w:rsidRPr="008A425D">
        <w:rPr>
          <w:iCs/>
          <w:sz w:val="22"/>
          <w:szCs w:val="22"/>
        </w:rPr>
        <w:t>PH (1-hour maximum), 150 TPH (rolling 30-operating day average) and 1,300,000 TPY (consecutive 12-month period) with the equivalent clinker production limits of 100 TPH (1-hour maximum), 90 TPH (rolling 30-operating day average) and 780,000 TPY (consecutive 12-month period)</w:t>
      </w:r>
      <w:r w:rsidR="002F7BE1">
        <w:rPr>
          <w:iCs/>
          <w:sz w:val="22"/>
          <w:szCs w:val="22"/>
        </w:rPr>
        <w:t xml:space="preserve"> respectively.  This change is not expected to cause any increase in emissions.</w:t>
      </w:r>
    </w:p>
    <w:p w:rsidR="00031B2F" w:rsidRPr="007317F1" w:rsidRDefault="00B4729B" w:rsidP="007317F1">
      <w:pPr>
        <w:pStyle w:val="ListParagraph"/>
        <w:numPr>
          <w:ilvl w:val="1"/>
          <w:numId w:val="6"/>
        </w:numPr>
        <w:spacing w:after="120"/>
        <w:ind w:left="720" w:hanging="702"/>
        <w:contextualSpacing w:val="0"/>
        <w:rPr>
          <w:b/>
          <w:caps/>
          <w:sz w:val="22"/>
          <w:szCs w:val="22"/>
        </w:rPr>
      </w:pPr>
      <w:r w:rsidRPr="00B4729B">
        <w:rPr>
          <w:b/>
          <w:sz w:val="22"/>
          <w:szCs w:val="22"/>
        </w:rPr>
        <w:t>Change the Basis for Pollutant Emission Limits from Preheater Feed Rate to Clinker Production Rate</w:t>
      </w:r>
    </w:p>
    <w:p w:rsidR="00031B2F" w:rsidRDefault="00960B43" w:rsidP="00960B43">
      <w:pPr>
        <w:widowControl w:val="0"/>
        <w:autoSpaceDE w:val="0"/>
        <w:autoSpaceDN w:val="0"/>
        <w:adjustRightInd w:val="0"/>
        <w:spacing w:after="120"/>
        <w:rPr>
          <w:sz w:val="22"/>
          <w:szCs w:val="22"/>
        </w:rPr>
      </w:pPr>
      <w:r w:rsidRPr="00960B43">
        <w:rPr>
          <w:sz w:val="22"/>
          <w:szCs w:val="22"/>
        </w:rPr>
        <w:t>CEMEX requests that the pollutant emission limits based on</w:t>
      </w:r>
      <w:r>
        <w:rPr>
          <w:sz w:val="22"/>
          <w:szCs w:val="22"/>
        </w:rPr>
        <w:t xml:space="preserve"> </w:t>
      </w:r>
      <w:r w:rsidRPr="00960B43">
        <w:rPr>
          <w:sz w:val="22"/>
          <w:szCs w:val="22"/>
        </w:rPr>
        <w:t>preheater feed rate on Kiln No. 1 (</w:t>
      </w:r>
      <w:r w:rsidR="00987C3B">
        <w:rPr>
          <w:sz w:val="22"/>
          <w:szCs w:val="22"/>
        </w:rPr>
        <w:t xml:space="preserve">EU 003), Cooler 1 (EU 004), </w:t>
      </w:r>
      <w:r>
        <w:rPr>
          <w:sz w:val="22"/>
          <w:szCs w:val="22"/>
        </w:rPr>
        <w:t>Kiln No. 2 (EU 014)</w:t>
      </w:r>
      <w:r w:rsidR="00987C3B">
        <w:rPr>
          <w:sz w:val="22"/>
          <w:szCs w:val="22"/>
        </w:rPr>
        <w:t>, and Cooler 2 (EU 015)</w:t>
      </w:r>
      <w:r w:rsidRPr="00960B43">
        <w:rPr>
          <w:sz w:val="22"/>
          <w:szCs w:val="22"/>
        </w:rPr>
        <w:t xml:space="preserve"> be replaced with</w:t>
      </w:r>
      <w:r>
        <w:rPr>
          <w:sz w:val="22"/>
          <w:szCs w:val="22"/>
        </w:rPr>
        <w:t xml:space="preserve"> </w:t>
      </w:r>
      <w:r w:rsidRPr="00960B43">
        <w:rPr>
          <w:sz w:val="22"/>
          <w:szCs w:val="22"/>
        </w:rPr>
        <w:t>emission limits based on clinker production rate.</w:t>
      </w:r>
      <w:r>
        <w:rPr>
          <w:sz w:val="22"/>
          <w:szCs w:val="22"/>
        </w:rPr>
        <w:t xml:space="preserve">  CEMEX further states that this </w:t>
      </w:r>
      <w:r w:rsidRPr="00960B43">
        <w:rPr>
          <w:sz w:val="22"/>
          <w:szCs w:val="22"/>
        </w:rPr>
        <w:t>will result in consistency with emission</w:t>
      </w:r>
      <w:r>
        <w:rPr>
          <w:sz w:val="22"/>
          <w:szCs w:val="22"/>
        </w:rPr>
        <w:t xml:space="preserve"> </w:t>
      </w:r>
      <w:r w:rsidRPr="00960B43">
        <w:rPr>
          <w:sz w:val="22"/>
          <w:szCs w:val="22"/>
        </w:rPr>
        <w:t xml:space="preserve">reporting practices used by other Florida cement </w:t>
      </w:r>
      <w:r>
        <w:rPr>
          <w:sz w:val="22"/>
          <w:szCs w:val="22"/>
        </w:rPr>
        <w:t>plant</w:t>
      </w:r>
      <w:r w:rsidRPr="00960B43">
        <w:rPr>
          <w:sz w:val="22"/>
          <w:szCs w:val="22"/>
        </w:rPr>
        <w:t xml:space="preserve">s </w:t>
      </w:r>
      <w:proofErr w:type="gramStart"/>
      <w:r w:rsidRPr="00960B43">
        <w:rPr>
          <w:sz w:val="22"/>
          <w:szCs w:val="22"/>
        </w:rPr>
        <w:t>and also</w:t>
      </w:r>
      <w:proofErr w:type="gramEnd"/>
      <w:r w:rsidRPr="00960B43">
        <w:rPr>
          <w:sz w:val="22"/>
          <w:szCs w:val="22"/>
        </w:rPr>
        <w:t xml:space="preserve"> consistency with the</w:t>
      </w:r>
      <w:r>
        <w:rPr>
          <w:sz w:val="22"/>
          <w:szCs w:val="22"/>
        </w:rPr>
        <w:t xml:space="preserve"> </w:t>
      </w:r>
      <w:r w:rsidRPr="00960B43">
        <w:rPr>
          <w:sz w:val="22"/>
          <w:szCs w:val="22"/>
        </w:rPr>
        <w:t xml:space="preserve">reporting format of production-based emission limits of </w:t>
      </w:r>
      <w:r>
        <w:rPr>
          <w:sz w:val="22"/>
          <w:szCs w:val="22"/>
        </w:rPr>
        <w:t xml:space="preserve">Subpart </w:t>
      </w:r>
      <w:r w:rsidRPr="00960B43">
        <w:rPr>
          <w:sz w:val="22"/>
          <w:szCs w:val="22"/>
        </w:rPr>
        <w:t>LLL</w:t>
      </w:r>
      <w:r w:rsidR="001550FE">
        <w:rPr>
          <w:sz w:val="22"/>
          <w:szCs w:val="22"/>
        </w:rPr>
        <w:t>.</w:t>
      </w:r>
    </w:p>
    <w:p w:rsidR="00031B2F" w:rsidRPr="000B4B28" w:rsidRDefault="001550FE" w:rsidP="00B960D9">
      <w:pPr>
        <w:widowControl w:val="0"/>
        <w:autoSpaceDE w:val="0"/>
        <w:autoSpaceDN w:val="0"/>
        <w:adjustRightInd w:val="0"/>
        <w:spacing w:after="120"/>
        <w:rPr>
          <w:sz w:val="22"/>
          <w:szCs w:val="22"/>
        </w:rPr>
      </w:pPr>
      <w:r>
        <w:rPr>
          <w:iCs/>
          <w:sz w:val="22"/>
          <w:szCs w:val="22"/>
        </w:rPr>
        <w:t xml:space="preserve">At the time of permitting of Kiln Nos 1 and 2, production at Portland Cement facilities was limited by limiting the amount of preheater feed.  Consequently, emissions limits were also based on the preheater feed rate to be consistent with the production limit.  </w:t>
      </w:r>
      <w:r w:rsidR="002F6CF3">
        <w:rPr>
          <w:iCs/>
          <w:sz w:val="22"/>
          <w:szCs w:val="22"/>
        </w:rPr>
        <w:t xml:space="preserve">However, considering production-based limits in Subpart LLL are in terms of clinker produced, the draft permit will change the basis for emissions limits from preheater feed rate to clinker production rate.  </w:t>
      </w:r>
      <w:r w:rsidRPr="008A425D">
        <w:rPr>
          <w:iCs/>
          <w:sz w:val="22"/>
          <w:szCs w:val="22"/>
        </w:rPr>
        <w:t>The conversion of feed to clinker is based on the stoichiometric</w:t>
      </w:r>
      <w:r>
        <w:rPr>
          <w:iCs/>
          <w:sz w:val="22"/>
          <w:szCs w:val="22"/>
        </w:rPr>
        <w:t xml:space="preserve"> ratio of 1.65 tons of feed per ton of clinker produced, and has been used in Equation 1 of Subpart LLL.</w:t>
      </w:r>
      <w:r w:rsidR="001077A0">
        <w:rPr>
          <w:iCs/>
          <w:sz w:val="22"/>
          <w:szCs w:val="22"/>
        </w:rPr>
        <w:t xml:space="preserve">  Therefore, even though the units of emissions limits will be different, they are equivalent and will not result in any increases in emissions.</w:t>
      </w:r>
    </w:p>
    <w:p w:rsidR="00686486" w:rsidRPr="007317F1" w:rsidRDefault="00686486" w:rsidP="007317F1">
      <w:pPr>
        <w:pStyle w:val="ListParagraph"/>
        <w:numPr>
          <w:ilvl w:val="1"/>
          <w:numId w:val="6"/>
        </w:numPr>
        <w:spacing w:after="120"/>
        <w:ind w:left="720" w:hanging="702"/>
        <w:contextualSpacing w:val="0"/>
        <w:rPr>
          <w:b/>
          <w:caps/>
          <w:sz w:val="22"/>
          <w:szCs w:val="22"/>
        </w:rPr>
      </w:pPr>
      <w:r w:rsidRPr="00405FB0">
        <w:rPr>
          <w:b/>
          <w:sz w:val="22"/>
        </w:rPr>
        <w:t xml:space="preserve">Federal NESHAP </w:t>
      </w:r>
      <w:r w:rsidR="00B7612C">
        <w:rPr>
          <w:b/>
          <w:sz w:val="22"/>
        </w:rPr>
        <w:t>Provisions</w:t>
      </w:r>
    </w:p>
    <w:p w:rsidR="00F86FDC" w:rsidRDefault="008A1927" w:rsidP="00B960D9">
      <w:pPr>
        <w:widowControl w:val="0"/>
        <w:autoSpaceDE w:val="0"/>
        <w:autoSpaceDN w:val="0"/>
        <w:adjustRightInd w:val="0"/>
        <w:spacing w:after="120"/>
        <w:rPr>
          <w:sz w:val="22"/>
          <w:szCs w:val="22"/>
        </w:rPr>
      </w:pPr>
      <w:r>
        <w:rPr>
          <w:sz w:val="22"/>
          <w:szCs w:val="22"/>
        </w:rPr>
        <w:t xml:space="preserve">Kiln Nos. 1 and 2, (EUs </w:t>
      </w:r>
      <w:r w:rsidR="00096318">
        <w:rPr>
          <w:sz w:val="22"/>
          <w:szCs w:val="22"/>
        </w:rPr>
        <w:t xml:space="preserve">003 and 014 respectively) and Cooler Nos. 1 and 2 (EUs 004 and 015 respectively) </w:t>
      </w:r>
      <w:r>
        <w:rPr>
          <w:sz w:val="22"/>
          <w:szCs w:val="22"/>
        </w:rPr>
        <w:t xml:space="preserve">are regulated under40 CFR 63, Subpart A, General provisions and 40 CFR 63, Subpart LLL, </w:t>
      </w:r>
      <w:r w:rsidRPr="008A1927">
        <w:rPr>
          <w:iCs/>
          <w:sz w:val="22"/>
          <w:szCs w:val="22"/>
        </w:rPr>
        <w:t>NESHAP from the Portland Cement Manufacturing Industry</w:t>
      </w:r>
      <w:r>
        <w:rPr>
          <w:iCs/>
          <w:sz w:val="22"/>
          <w:szCs w:val="22"/>
        </w:rPr>
        <w:t xml:space="preserve">.  </w:t>
      </w:r>
      <w:r w:rsidRPr="00041B1F">
        <w:rPr>
          <w:sz w:val="22"/>
          <w:szCs w:val="22"/>
        </w:rPr>
        <w:t>The draft permit will not change any currently applicable requirements regarding these regulations</w:t>
      </w:r>
      <w:r>
        <w:rPr>
          <w:sz w:val="22"/>
          <w:szCs w:val="22"/>
        </w:rPr>
        <w:t>.</w:t>
      </w:r>
    </w:p>
    <w:p w:rsidR="00F86FDC" w:rsidRDefault="00F86FDC">
      <w:pPr>
        <w:rPr>
          <w:sz w:val="22"/>
          <w:szCs w:val="22"/>
        </w:rPr>
      </w:pPr>
      <w:r>
        <w:rPr>
          <w:sz w:val="22"/>
          <w:szCs w:val="22"/>
        </w:rPr>
        <w:br w:type="page"/>
      </w:r>
    </w:p>
    <w:p w:rsidR="00193F10" w:rsidRPr="007317F1" w:rsidRDefault="00193F10" w:rsidP="007317F1">
      <w:pPr>
        <w:pStyle w:val="ListParagraph"/>
        <w:numPr>
          <w:ilvl w:val="0"/>
          <w:numId w:val="6"/>
        </w:numPr>
        <w:spacing w:after="120"/>
        <w:ind w:left="720" w:hanging="720"/>
        <w:contextualSpacing w:val="0"/>
        <w:rPr>
          <w:b/>
          <w:caps/>
          <w:sz w:val="22"/>
          <w:szCs w:val="22"/>
        </w:rPr>
      </w:pPr>
      <w:r w:rsidRPr="000B4B28">
        <w:rPr>
          <w:b/>
          <w:caps/>
          <w:sz w:val="22"/>
        </w:rPr>
        <w:lastRenderedPageBreak/>
        <w:t>Preliminary Determination</w:t>
      </w:r>
      <w:bookmarkStart w:id="8" w:name="_GoBack"/>
    </w:p>
    <w:bookmarkEnd w:id="8"/>
    <w:p w:rsidR="00193F10" w:rsidRDefault="00193F10" w:rsidP="00B960D9">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5763EF">
        <w:rPr>
          <w:sz w:val="22"/>
        </w:rPr>
        <w:t xml:space="preserve">Pawan Subramaniam is the project engineer responsible for reviewing the application and drafting the permit.  Additional details of this analysis may be obtained by contacting the project engineer at the Department’s Office of Permitting and Compliance at Mail Station #5505, 2600 Blair Stone Road, Tallahassee, Florida  32399-2400 at 850/717-9033 or by email </w:t>
      </w:r>
      <w:hyperlink r:id="rId14" w:history="1">
        <w:r w:rsidR="005763EF" w:rsidRPr="00823A99">
          <w:rPr>
            <w:rStyle w:val="Hyperlink"/>
            <w:sz w:val="22"/>
            <w:u w:val="none"/>
          </w:rPr>
          <w:t xml:space="preserve"> </w:t>
        </w:r>
        <w:r w:rsidR="005763EF" w:rsidRPr="005B70BA">
          <w:rPr>
            <w:rStyle w:val="Hyperlink"/>
            <w:sz w:val="22"/>
          </w:rPr>
          <w:t>Pawan.Subramaniam@dep.state.fl.us</w:t>
        </w:r>
      </w:hyperlink>
      <w:r w:rsidR="005763EF">
        <w:rPr>
          <w:sz w:val="22"/>
        </w:rPr>
        <w:t>.</w:t>
      </w:r>
    </w:p>
    <w:sectPr w:rsidR="00193F10" w:rsidSect="00955781">
      <w:headerReference w:type="default" r:id="rId15"/>
      <w:footerReference w:type="default" r:id="rId16"/>
      <w:headerReference w:type="first" r:id="rId17"/>
      <w:footerReference w:type="first" r:id="rId1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368" w:rsidRPr="00077826" w:rsidRDefault="005E1368" w:rsidP="005E1368">
    <w:pPr>
      <w:pBdr>
        <w:top w:val="single" w:sz="8" w:space="1" w:color="auto"/>
      </w:pBdr>
      <w:tabs>
        <w:tab w:val="right" w:pos="10080"/>
      </w:tabs>
      <w:spacing w:before="240"/>
      <w:rPr>
        <w:rStyle w:val="PageNumber"/>
      </w:rPr>
    </w:pPr>
    <w:r w:rsidRPr="008A3E20">
      <w:t>CEMEX Construction Materials Florida, LLC</w:t>
    </w:r>
    <w:r w:rsidRPr="00077826">
      <w:rPr>
        <w:rStyle w:val="PageNumber"/>
        <w:color w:val="FF0000"/>
      </w:rPr>
      <w:tab/>
    </w:r>
    <w:r w:rsidRPr="00220186">
      <w:rPr>
        <w:rStyle w:val="PageNumber"/>
      </w:rPr>
      <w:t xml:space="preserve">Air Permit No. </w:t>
    </w:r>
    <w:r>
      <w:rPr>
        <w:rStyle w:val="PageNumber"/>
      </w:rPr>
      <w:t>0530010-048</w:t>
    </w:r>
    <w:r w:rsidRPr="00220186">
      <w:rPr>
        <w:rStyle w:val="PageNumber"/>
      </w:rPr>
      <w:t>-AC</w:t>
    </w:r>
    <w:r w:rsidR="0011151E">
      <w:rPr>
        <w:rStyle w:val="PageNumber"/>
      </w:rPr>
      <w:t xml:space="preserve"> (PSD-FL-233A)</w:t>
    </w:r>
  </w:p>
  <w:p w:rsidR="005E1368" w:rsidRPr="00077826" w:rsidRDefault="005E1368" w:rsidP="005E1368">
    <w:pPr>
      <w:tabs>
        <w:tab w:val="right" w:pos="10080"/>
      </w:tabs>
      <w:rPr>
        <w:rStyle w:val="PageNumber"/>
      </w:rPr>
    </w:pPr>
    <w:r w:rsidRPr="008A3E20">
      <w:t>CEMEX Brooksville South Cement Plant</w:t>
    </w:r>
    <w:r>
      <w:rPr>
        <w:rStyle w:val="PageNumber"/>
      </w:rPr>
      <w:tab/>
      <w:t>Removal of SO</w:t>
    </w:r>
    <w:r w:rsidRPr="00063313">
      <w:rPr>
        <w:rStyle w:val="PageNumber"/>
        <w:vertAlign w:val="subscript"/>
      </w:rPr>
      <w:t>2</w:t>
    </w:r>
    <w:r>
      <w:rPr>
        <w:rStyle w:val="PageNumber"/>
      </w:rPr>
      <w:t xml:space="preserve"> CEMS and Kiln Feed Limits</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7317F1">
      <w:rPr>
        <w:rStyle w:val="PageNumber"/>
        <w:noProof/>
      </w:rPr>
      <w:t>7</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7317F1">
      <w:rPr>
        <w:rStyle w:val="PageNumber"/>
        <w:noProof/>
      </w:rPr>
      <w:t>8</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44B" w:rsidRDefault="0066044B">
      <w:r>
        <w:separator/>
      </w:r>
    </w:p>
  </w:footnote>
  <w:footnote w:type="continuationSeparator" w:id="0">
    <w:p w:rsidR="0066044B" w:rsidRDefault="0066044B">
      <w:r>
        <w:continuationSeparator/>
      </w:r>
    </w:p>
  </w:footnote>
  <w:footnote w:id="1">
    <w:p w:rsidR="00031B2F" w:rsidRDefault="00031B2F" w:rsidP="00031B2F">
      <w:pPr>
        <w:pStyle w:val="FootnoteText"/>
      </w:pPr>
      <w:r>
        <w:rPr>
          <w:rStyle w:val="FootnoteReference"/>
        </w:rPr>
        <w:footnoteRef/>
      </w:r>
      <w:r>
        <w:t xml:space="preserve"> </w:t>
      </w:r>
      <w:r>
        <w:tab/>
      </w:r>
      <w:r w:rsidRPr="00B56F50">
        <w:t xml:space="preserve">Miller, F. M.; Young, G. L.; von </w:t>
      </w:r>
      <w:proofErr w:type="spellStart"/>
      <w:r w:rsidRPr="00B56F50">
        <w:t>Seebach</w:t>
      </w:r>
      <w:proofErr w:type="spellEnd"/>
      <w:r w:rsidRPr="00B56F50">
        <w:t xml:space="preserve">, M., </w:t>
      </w:r>
      <w:r w:rsidRPr="00B56F50">
        <w:rPr>
          <w:i/>
        </w:rPr>
        <w:t>Formation and Techniques for Control of Sulfur Dioxide and Other Sulfur Compounds in Portland Cement Kiln Systems</w:t>
      </w:r>
      <w:r w:rsidRPr="00B56F50">
        <w:t>; Portland Cement Association: Skokie, Illinois, 2001.</w:t>
      </w:r>
    </w:p>
  </w:footnote>
  <w:footnote w:id="2">
    <w:p w:rsidR="00031B2F" w:rsidRDefault="00031B2F" w:rsidP="00031B2F">
      <w:pPr>
        <w:pStyle w:val="FootnoteText"/>
      </w:pPr>
      <w:r>
        <w:rPr>
          <w:rStyle w:val="FootnoteReference"/>
        </w:rPr>
        <w:footnoteRef/>
      </w:r>
      <w:r>
        <w:t xml:space="preserve"> </w:t>
      </w:r>
      <w:r>
        <w:tab/>
      </w:r>
      <w:r w:rsidRPr="00B56F50">
        <w:t xml:space="preserve">Greer, W. L., </w:t>
      </w:r>
      <w:r w:rsidRPr="00B56F50">
        <w:rPr>
          <w:i/>
        </w:rPr>
        <w:t>Interactions Among Gaseous Pollutants from Cement Manufacture and Their Control Technologies</w:t>
      </w:r>
      <w:r w:rsidRPr="00B56F50">
        <w:t>; Portland Cement Association: Skokie, Illinois, 2003.</w:t>
      </w:r>
    </w:p>
  </w:footnote>
  <w:footnote w:id="3">
    <w:p w:rsidR="00031B2F" w:rsidRDefault="00031B2F" w:rsidP="00031B2F">
      <w:pPr>
        <w:pStyle w:val="FootnoteText"/>
      </w:pPr>
      <w:r>
        <w:rPr>
          <w:rStyle w:val="FootnoteReference"/>
        </w:rPr>
        <w:footnoteRef/>
      </w:r>
      <w:r>
        <w:t xml:space="preserve"> </w:t>
      </w:r>
      <w:r>
        <w:tab/>
      </w:r>
      <w:r w:rsidRPr="00051B4C">
        <w:t>Letter and attachments from Walter Greer, Ash Grove Cement, to John Ramsey, Kansas Department of Health and Environment, re: Sulfur Absorbing Enhancements at the Chanute Plant, dated May 14, 1999.</w:t>
      </w:r>
    </w:p>
  </w:footnote>
  <w:footnote w:id="4">
    <w:p w:rsidR="00F86FDC" w:rsidRPr="00051B4C" w:rsidRDefault="00F86FDC" w:rsidP="00F86FDC">
      <w:pPr>
        <w:pStyle w:val="FootnoteText"/>
      </w:pPr>
      <w:r>
        <w:rPr>
          <w:rStyle w:val="FootnoteReference"/>
        </w:rPr>
        <w:footnoteRef/>
      </w:r>
      <w:r>
        <w:t xml:space="preserve"> </w:t>
      </w:r>
      <w:r>
        <w:tab/>
      </w:r>
      <w:r w:rsidRPr="00051B4C">
        <w:t>SO</w:t>
      </w:r>
      <w:r w:rsidRPr="00051B4C">
        <w:rPr>
          <w:vertAlign w:val="subscript"/>
        </w:rPr>
        <w:t>2</w:t>
      </w:r>
      <w:r>
        <w:rPr>
          <w:vertAlign w:val="subscript"/>
        </w:rPr>
        <w:t xml:space="preserve"> </w:t>
      </w:r>
      <w:r>
        <w:t xml:space="preserve">Removal and Secondary Plume Abatement – </w:t>
      </w:r>
      <w:proofErr w:type="spellStart"/>
      <w:r>
        <w:t>MicroMist</w:t>
      </w:r>
      <w:proofErr w:type="spellEnd"/>
      <w:r>
        <w:t xml:space="preserve"> Micro-</w:t>
      </w:r>
      <w:proofErr w:type="gramStart"/>
      <w:r>
        <w:t>fine</w:t>
      </w:r>
      <w:proofErr w:type="gramEnd"/>
      <w:r>
        <w:t xml:space="preserve"> Lime </w:t>
      </w:r>
      <w:r w:rsidRPr="00051B4C">
        <w:rPr>
          <w:vertAlign w:val="superscript"/>
        </w:rPr>
        <w:t>TM</w:t>
      </w:r>
      <w:r>
        <w:t xml:space="preserve"> Semi-dry Injection Systems.  Product Information Brochure.  </w:t>
      </w:r>
      <w:proofErr w:type="spellStart"/>
      <w:r>
        <w:t>EnviroCare</w:t>
      </w:r>
      <w:proofErr w:type="spellEnd"/>
      <w:r>
        <w:t xml:space="preserve"> International:  Novato, California, 1998.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C10CE"/>
    <w:multiLevelType w:val="hybridMultilevel"/>
    <w:tmpl w:val="D4A2C43C"/>
    <w:lvl w:ilvl="0" w:tplc="445604F8">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F80A73"/>
    <w:multiLevelType w:val="hybridMultilevel"/>
    <w:tmpl w:val="0E24E9B6"/>
    <w:lvl w:ilvl="0" w:tplc="31782DBE">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05A19"/>
    <w:multiLevelType w:val="hybridMultilevel"/>
    <w:tmpl w:val="25A0D9FC"/>
    <w:lvl w:ilvl="0" w:tplc="308A6B9C">
      <w:start w:val="1"/>
      <w:numFmt w:val="decimal"/>
      <w:lvlText w:val="3.%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B56331"/>
    <w:multiLevelType w:val="hybridMultilevel"/>
    <w:tmpl w:val="86A636F4"/>
    <w:lvl w:ilvl="0" w:tplc="912A6B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F527E60"/>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534618"/>
    <w:multiLevelType w:val="hybridMultilevel"/>
    <w:tmpl w:val="AD68DBF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55875FB"/>
    <w:multiLevelType w:val="hybridMultilevel"/>
    <w:tmpl w:val="0CA6BFE2"/>
    <w:lvl w:ilvl="0" w:tplc="E80A6784">
      <w:start w:val="1"/>
      <w:numFmt w:val="decimal"/>
      <w:lvlText w:val="3.1.%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CB400F"/>
    <w:multiLevelType w:val="hybridMultilevel"/>
    <w:tmpl w:val="B9F0C37C"/>
    <w:lvl w:ilvl="0" w:tplc="EA1CB7DA">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0"/>
  </w:num>
  <w:num w:numId="4">
    <w:abstractNumId w:val="4"/>
  </w:num>
  <w:num w:numId="5">
    <w:abstractNumId w:val="8"/>
  </w:num>
  <w:num w:numId="6">
    <w:abstractNumId w:val="7"/>
  </w:num>
  <w:num w:numId="7">
    <w:abstractNumId w:val="5"/>
  </w:num>
  <w:num w:numId="8">
    <w:abstractNumId w:val="1"/>
  </w:num>
  <w:num w:numId="9">
    <w:abstractNumId w:val="2"/>
  </w:num>
  <w:num w:numId="10">
    <w:abstractNumId w:val="11"/>
  </w:num>
  <w:num w:numId="11">
    <w:abstractNumId w:val="9"/>
  </w:num>
  <w:num w:numId="12">
    <w:abstractNumId w:val="3"/>
  </w:num>
  <w:num w:numId="1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31B2F"/>
    <w:rsid w:val="00036321"/>
    <w:rsid w:val="00074A10"/>
    <w:rsid w:val="00096318"/>
    <w:rsid w:val="0009648F"/>
    <w:rsid w:val="000B3948"/>
    <w:rsid w:val="000B4406"/>
    <w:rsid w:val="000B4B28"/>
    <w:rsid w:val="000C5143"/>
    <w:rsid w:val="000D5EBF"/>
    <w:rsid w:val="000D7A44"/>
    <w:rsid w:val="000E42D3"/>
    <w:rsid w:val="000E6D60"/>
    <w:rsid w:val="000F5FCD"/>
    <w:rsid w:val="000F6F01"/>
    <w:rsid w:val="00100510"/>
    <w:rsid w:val="001077A0"/>
    <w:rsid w:val="00111453"/>
    <w:rsid w:val="0011151E"/>
    <w:rsid w:val="00140CD4"/>
    <w:rsid w:val="00151452"/>
    <w:rsid w:val="001550FE"/>
    <w:rsid w:val="00160808"/>
    <w:rsid w:val="001771DC"/>
    <w:rsid w:val="0019139F"/>
    <w:rsid w:val="0019313F"/>
    <w:rsid w:val="00193F10"/>
    <w:rsid w:val="00194AA6"/>
    <w:rsid w:val="001A2322"/>
    <w:rsid w:val="001C4E37"/>
    <w:rsid w:val="001D1649"/>
    <w:rsid w:val="001D487F"/>
    <w:rsid w:val="001D66D6"/>
    <w:rsid w:val="001E2CD6"/>
    <w:rsid w:val="00201860"/>
    <w:rsid w:val="00202A2E"/>
    <w:rsid w:val="002225DD"/>
    <w:rsid w:val="002469D8"/>
    <w:rsid w:val="002479C9"/>
    <w:rsid w:val="002968C8"/>
    <w:rsid w:val="002A28C2"/>
    <w:rsid w:val="002B6427"/>
    <w:rsid w:val="002F0E6E"/>
    <w:rsid w:val="002F6CF3"/>
    <w:rsid w:val="002F7BE1"/>
    <w:rsid w:val="00302267"/>
    <w:rsid w:val="00311DFF"/>
    <w:rsid w:val="00312095"/>
    <w:rsid w:val="0033363A"/>
    <w:rsid w:val="00346552"/>
    <w:rsid w:val="00360830"/>
    <w:rsid w:val="0036182A"/>
    <w:rsid w:val="00362B27"/>
    <w:rsid w:val="0036456B"/>
    <w:rsid w:val="003858DE"/>
    <w:rsid w:val="0039482F"/>
    <w:rsid w:val="003A3C29"/>
    <w:rsid w:val="003A60A2"/>
    <w:rsid w:val="003B1E0A"/>
    <w:rsid w:val="003C5D7A"/>
    <w:rsid w:val="003E3072"/>
    <w:rsid w:val="003E683A"/>
    <w:rsid w:val="003F1AFB"/>
    <w:rsid w:val="003F3477"/>
    <w:rsid w:val="0040283C"/>
    <w:rsid w:val="00415043"/>
    <w:rsid w:val="004162F7"/>
    <w:rsid w:val="00422442"/>
    <w:rsid w:val="0043123B"/>
    <w:rsid w:val="00436E6E"/>
    <w:rsid w:val="004414F2"/>
    <w:rsid w:val="00446FE7"/>
    <w:rsid w:val="0044794C"/>
    <w:rsid w:val="00461B52"/>
    <w:rsid w:val="0046768B"/>
    <w:rsid w:val="004B5185"/>
    <w:rsid w:val="004C0984"/>
    <w:rsid w:val="004D1D9F"/>
    <w:rsid w:val="004E48C8"/>
    <w:rsid w:val="004F5E2A"/>
    <w:rsid w:val="005763EF"/>
    <w:rsid w:val="005A42FF"/>
    <w:rsid w:val="005D1658"/>
    <w:rsid w:val="005E1368"/>
    <w:rsid w:val="005E36E4"/>
    <w:rsid w:val="00617209"/>
    <w:rsid w:val="0065214A"/>
    <w:rsid w:val="0066044B"/>
    <w:rsid w:val="006637B8"/>
    <w:rsid w:val="006675D4"/>
    <w:rsid w:val="00684184"/>
    <w:rsid w:val="00686486"/>
    <w:rsid w:val="006A2F9D"/>
    <w:rsid w:val="006A5674"/>
    <w:rsid w:val="006A692F"/>
    <w:rsid w:val="006B6EFE"/>
    <w:rsid w:val="006C3F0E"/>
    <w:rsid w:val="00701FEF"/>
    <w:rsid w:val="00703BA6"/>
    <w:rsid w:val="00722430"/>
    <w:rsid w:val="007238CA"/>
    <w:rsid w:val="007317F1"/>
    <w:rsid w:val="00741F1A"/>
    <w:rsid w:val="0074503E"/>
    <w:rsid w:val="007502FD"/>
    <w:rsid w:val="00762E18"/>
    <w:rsid w:val="007747AA"/>
    <w:rsid w:val="00782ABD"/>
    <w:rsid w:val="00786837"/>
    <w:rsid w:val="007C64B6"/>
    <w:rsid w:val="007D270B"/>
    <w:rsid w:val="007E5CA3"/>
    <w:rsid w:val="007F7B7E"/>
    <w:rsid w:val="008054EB"/>
    <w:rsid w:val="00835018"/>
    <w:rsid w:val="008403CF"/>
    <w:rsid w:val="00850561"/>
    <w:rsid w:val="008560BD"/>
    <w:rsid w:val="008603FF"/>
    <w:rsid w:val="008673D3"/>
    <w:rsid w:val="0087009A"/>
    <w:rsid w:val="00872F0C"/>
    <w:rsid w:val="008A1927"/>
    <w:rsid w:val="008A425D"/>
    <w:rsid w:val="008C0232"/>
    <w:rsid w:val="008C4CA9"/>
    <w:rsid w:val="008D2A08"/>
    <w:rsid w:val="008D7D93"/>
    <w:rsid w:val="00915F63"/>
    <w:rsid w:val="0093238E"/>
    <w:rsid w:val="009344AB"/>
    <w:rsid w:val="00955781"/>
    <w:rsid w:val="00960B43"/>
    <w:rsid w:val="009832CB"/>
    <w:rsid w:val="00987C3B"/>
    <w:rsid w:val="009A30CD"/>
    <w:rsid w:val="009B32D2"/>
    <w:rsid w:val="009C4119"/>
    <w:rsid w:val="009E1403"/>
    <w:rsid w:val="009E1C17"/>
    <w:rsid w:val="009F6095"/>
    <w:rsid w:val="00A07DB0"/>
    <w:rsid w:val="00A536A5"/>
    <w:rsid w:val="00A72425"/>
    <w:rsid w:val="00A872D9"/>
    <w:rsid w:val="00A938D5"/>
    <w:rsid w:val="00A948F3"/>
    <w:rsid w:val="00AB79E9"/>
    <w:rsid w:val="00B103DE"/>
    <w:rsid w:val="00B2315F"/>
    <w:rsid w:val="00B23367"/>
    <w:rsid w:val="00B377D8"/>
    <w:rsid w:val="00B4729B"/>
    <w:rsid w:val="00B524D4"/>
    <w:rsid w:val="00B61FD5"/>
    <w:rsid w:val="00B7612C"/>
    <w:rsid w:val="00B960D9"/>
    <w:rsid w:val="00BB1087"/>
    <w:rsid w:val="00BB37CE"/>
    <w:rsid w:val="00BC5729"/>
    <w:rsid w:val="00BE0F0E"/>
    <w:rsid w:val="00C001DA"/>
    <w:rsid w:val="00C02BEB"/>
    <w:rsid w:val="00C06C6D"/>
    <w:rsid w:val="00C14BC5"/>
    <w:rsid w:val="00C3073C"/>
    <w:rsid w:val="00C3622D"/>
    <w:rsid w:val="00C502D1"/>
    <w:rsid w:val="00C66E7D"/>
    <w:rsid w:val="00C70A8D"/>
    <w:rsid w:val="00C7510F"/>
    <w:rsid w:val="00C75C6F"/>
    <w:rsid w:val="00CB2561"/>
    <w:rsid w:val="00D032EF"/>
    <w:rsid w:val="00D07B72"/>
    <w:rsid w:val="00D1773B"/>
    <w:rsid w:val="00D20DAC"/>
    <w:rsid w:val="00D24F36"/>
    <w:rsid w:val="00D25FA5"/>
    <w:rsid w:val="00D262B1"/>
    <w:rsid w:val="00D4398E"/>
    <w:rsid w:val="00D51D78"/>
    <w:rsid w:val="00D727AB"/>
    <w:rsid w:val="00DA4D8D"/>
    <w:rsid w:val="00DA6B16"/>
    <w:rsid w:val="00DB4E11"/>
    <w:rsid w:val="00DF5520"/>
    <w:rsid w:val="00E42819"/>
    <w:rsid w:val="00E4473A"/>
    <w:rsid w:val="00E476AE"/>
    <w:rsid w:val="00E50051"/>
    <w:rsid w:val="00E607EE"/>
    <w:rsid w:val="00E668FA"/>
    <w:rsid w:val="00E84B3B"/>
    <w:rsid w:val="00EA09AE"/>
    <w:rsid w:val="00EA2DE9"/>
    <w:rsid w:val="00EC344E"/>
    <w:rsid w:val="00EE6112"/>
    <w:rsid w:val="00F033AE"/>
    <w:rsid w:val="00F242B5"/>
    <w:rsid w:val="00F35406"/>
    <w:rsid w:val="00F71458"/>
    <w:rsid w:val="00F77D22"/>
    <w:rsid w:val="00F86FDC"/>
    <w:rsid w:val="00FF5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hapeDefaults>
    <o:shapedefaults v:ext="edit" spidmax="44033"/>
    <o:shapelayout v:ext="edit">
      <o:idmap v:ext="edit" data="1"/>
    </o:shapelayout>
  </w:shapeDefaults>
  <w:decimalSymbol w:val="."/>
  <w:listSeparator w:val=","/>
  <w14:docId w14:val="38BEC19A"/>
  <w15:docId w15:val="{E3626B76-9B93-457F-8CF1-46485526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ListParagraph">
    <w:name w:val="List Paragraph"/>
    <w:basedOn w:val="Normal"/>
    <w:uiPriority w:val="34"/>
    <w:qFormat/>
    <w:rsid w:val="003C5D7A"/>
    <w:pPr>
      <w:ind w:left="720"/>
      <w:contextualSpacing/>
    </w:pPr>
  </w:style>
  <w:style w:type="paragraph" w:styleId="Caption">
    <w:name w:val="caption"/>
    <w:basedOn w:val="Normal"/>
    <w:next w:val="Normal"/>
    <w:unhideWhenUsed/>
    <w:qFormat/>
    <w:rsid w:val="006A5674"/>
    <w:pPr>
      <w:spacing w:after="200"/>
    </w:pPr>
    <w:rPr>
      <w:i/>
      <w:iCs/>
      <w:color w:val="1F497D" w:themeColor="text2"/>
      <w:sz w:val="18"/>
      <w:szCs w:val="18"/>
    </w:rPr>
  </w:style>
  <w:style w:type="character" w:styleId="UnresolvedMention">
    <w:name w:val="Unresolved Mention"/>
    <w:basedOn w:val="DefaultParagraphFont"/>
    <w:uiPriority w:val="99"/>
    <w:semiHidden/>
    <w:unhideWhenUsed/>
    <w:rsid w:val="002B6427"/>
    <w:rPr>
      <w:color w:val="808080"/>
      <w:shd w:val="clear" w:color="auto" w:fill="E6E6E6"/>
    </w:rPr>
  </w:style>
  <w:style w:type="character" w:styleId="FollowedHyperlink">
    <w:name w:val="FollowedHyperlink"/>
    <w:basedOn w:val="DefaultParagraphFont"/>
    <w:semiHidden/>
    <w:unhideWhenUsed/>
    <w:rsid w:val="007C64B6"/>
    <w:rPr>
      <w:color w:val="800080" w:themeColor="followedHyperlink"/>
      <w:u w:val="single"/>
    </w:rPr>
  </w:style>
  <w:style w:type="character" w:customStyle="1" w:styleId="BodyTextChar">
    <w:name w:val="Body Text Char"/>
    <w:aliases w:val="SCA Body Text Char,SCA Body Text1 Char,SCA Body Text2 Char,SCA Body Text11 Char,BodyText-JEA Char,BT-JEA Char"/>
    <w:basedOn w:val="DefaultParagraphFont"/>
    <w:link w:val="BodyText"/>
    <w:rsid w:val="00031B2F"/>
    <w:rPr>
      <w:sz w:val="24"/>
    </w:rPr>
  </w:style>
  <w:style w:type="paragraph" w:styleId="FootnoteText">
    <w:name w:val="footnote text"/>
    <w:basedOn w:val="Normal"/>
    <w:link w:val="FootnoteTextChar"/>
    <w:semiHidden/>
    <w:unhideWhenUsed/>
    <w:rsid w:val="00031B2F"/>
  </w:style>
  <w:style w:type="character" w:customStyle="1" w:styleId="FootnoteTextChar">
    <w:name w:val="Footnote Text Char"/>
    <w:basedOn w:val="DefaultParagraphFont"/>
    <w:link w:val="FootnoteText"/>
    <w:semiHidden/>
    <w:rsid w:val="00031B2F"/>
  </w:style>
  <w:style w:type="character" w:styleId="FootnoteReference">
    <w:name w:val="footnote reference"/>
    <w:basedOn w:val="DefaultParagraphFont"/>
    <w:semiHidden/>
    <w:unhideWhenUsed/>
    <w:rsid w:val="00031B2F"/>
    <w:rPr>
      <w:vertAlign w:val="superscript"/>
    </w:rPr>
  </w:style>
  <w:style w:type="table" w:styleId="TableGrid">
    <w:name w:val="Table Grid"/>
    <w:basedOn w:val="TableNormal"/>
    <w:rsid w:val="00E66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81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epedms.dep.state.fl.us:443/Oculus/servlet/shell?command=hitlist&amp;%5bfreeText=%5d&amp;%5bfolderName=%5d&amp;%5bprofile=Permitting_Authorization%5d&amp;%5bcreator=%5d&amp;%5bentityType=any%5d&amp;%5bcreatedDateTo=%5d&amp;%5bcatalog=75%5d&amp;%5bsearchBy=Profile%5d&amp;%5bsortBy=Document+Date%5d&amp;%5bcreatedDate=%5d&amp;%7bCounty=_EQ_HERNANDO%7d&amp;%7bDistrict=_EQ_SWD%7d&amp;%7bFacility-Site+ID=_EQ_AIR_0530010%7d&amp;%7bFacility+Type=_LK_N%2FA%7d&amp;%7bApplication+Number=_EQ_0530010048%7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20Pawan.Subramaniam@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023C0-40A8-4818-902E-D6521C165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8</Pages>
  <Words>2658</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65</cp:revision>
  <cp:lastPrinted>2009-02-12T15:11:00Z</cp:lastPrinted>
  <dcterms:created xsi:type="dcterms:W3CDTF">2014-08-20T18:33:00Z</dcterms:created>
  <dcterms:modified xsi:type="dcterms:W3CDTF">2018-09-28T13:56:00Z</dcterms:modified>
</cp:coreProperties>
</file>